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EDAE5" w14:textId="77777777" w:rsidR="00560DB8" w:rsidRDefault="00560DB8" w:rsidP="00560DB8">
      <w:pPr>
        <w:pStyle w:val="MemoTitle"/>
      </w:pPr>
      <w:r w:rsidRPr="00560DB8">
        <w:t>Memorandum</w:t>
      </w:r>
    </w:p>
    <w:tbl>
      <w:tblPr>
        <w:tblStyle w:val="TableGrid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bottom w:w="216" w:type="dxa"/>
          <w:right w:w="0" w:type="dxa"/>
        </w:tblCellMar>
        <w:tblLook w:val="04A0" w:firstRow="1" w:lastRow="0" w:firstColumn="1" w:lastColumn="0" w:noHBand="0" w:noVBand="1"/>
      </w:tblPr>
      <w:tblGrid>
        <w:gridCol w:w="1278"/>
        <w:gridCol w:w="8550"/>
      </w:tblGrid>
      <w:tr w:rsidR="00E60A2B" w14:paraId="6DF5FC7A" w14:textId="77777777" w:rsidTr="00E60A2B">
        <w:tc>
          <w:tcPr>
            <w:tcW w:w="1278" w:type="dxa"/>
            <w:hideMark/>
          </w:tcPr>
          <w:p w14:paraId="446E9693" w14:textId="77777777" w:rsidR="00E60A2B" w:rsidRDefault="00E60A2B" w:rsidP="00035E6E">
            <w:pPr>
              <w:pStyle w:val="MemoHeading"/>
              <w:spacing w:after="0"/>
            </w:pPr>
            <w:r>
              <w:t>To:</w:t>
            </w:r>
          </w:p>
        </w:tc>
        <w:tc>
          <w:tcPr>
            <w:tcW w:w="8550" w:type="dxa"/>
            <w:hideMark/>
          </w:tcPr>
          <w:p w14:paraId="619360D0" w14:textId="050F9425" w:rsidR="00E60A2B" w:rsidRDefault="002072A1" w:rsidP="00035E6E">
            <w:pPr>
              <w:spacing w:after="0"/>
            </w:pPr>
            <w:sdt>
              <w:sdtPr>
                <w:alias w:val="TONameList"/>
                <w:tag w:val="iMergeField-TONameList"/>
                <w:id w:val="164061297"/>
                <w:placeholder>
                  <w:docPart w:val="B644BED5E6824C67B003D7AD9081E353"/>
                </w:placeholder>
                <w:text w:multiLine="1"/>
              </w:sdtPr>
              <w:sdtContent>
                <w:r>
                  <w:t>Planning Board</w:t>
                </w:r>
                <w:r>
                  <w:br/>
                  <w:t>Christopher Ryan, Town Planner and Director of Planning and Building</w:t>
                </w:r>
              </w:sdtContent>
            </w:sdt>
          </w:p>
        </w:tc>
      </w:tr>
      <w:tr w:rsidR="00E60A2B" w14:paraId="17F8DD7D" w14:textId="77777777" w:rsidTr="00E60A2B">
        <w:tc>
          <w:tcPr>
            <w:tcW w:w="1278" w:type="dxa"/>
            <w:hideMark/>
          </w:tcPr>
          <w:p w14:paraId="76EE6CCD" w14:textId="77777777" w:rsidR="00E60A2B" w:rsidRDefault="00E60A2B" w:rsidP="00035E6E">
            <w:pPr>
              <w:pStyle w:val="MemoHeading"/>
              <w:spacing w:after="0"/>
            </w:pPr>
            <w:r>
              <w:t>From:</w:t>
            </w:r>
          </w:p>
        </w:tc>
        <w:tc>
          <w:tcPr>
            <w:tcW w:w="8550" w:type="dxa"/>
            <w:hideMark/>
          </w:tcPr>
          <w:sdt>
            <w:sdtPr>
              <w:alias w:val="AuthorClosingName"/>
              <w:tag w:val="iMergeField-AuthorClosingName"/>
              <w:id w:val="-1834290649"/>
              <w:placeholder>
                <w:docPart w:val="117032D94E604CC992523BC64321CAFB"/>
              </w:placeholder>
              <w:text w:multiLine="1"/>
            </w:sdtPr>
            <w:sdtContent>
              <w:p w14:paraId="731C1906" w14:textId="47E34CFA" w:rsidR="00E60A2B" w:rsidRDefault="00D64145" w:rsidP="00035E6E">
                <w:pPr>
                  <w:spacing w:after="0"/>
                </w:pPr>
                <w:r>
                  <w:t>Paul Kominers</w:t>
                </w:r>
              </w:p>
            </w:sdtContent>
          </w:sdt>
        </w:tc>
      </w:tr>
      <w:tr w:rsidR="00E60A2B" w14:paraId="7843B39B" w14:textId="77777777" w:rsidTr="000F05F5">
        <w:tc>
          <w:tcPr>
            <w:tcW w:w="1278" w:type="dxa"/>
            <w:hideMark/>
          </w:tcPr>
          <w:p w14:paraId="4155C3E0" w14:textId="77777777" w:rsidR="00E60A2B" w:rsidRDefault="00E60A2B" w:rsidP="00035E6E">
            <w:pPr>
              <w:pStyle w:val="MemoHeading"/>
              <w:spacing w:after="0"/>
            </w:pPr>
            <w:r>
              <w:t>Re:</w:t>
            </w:r>
          </w:p>
        </w:tc>
        <w:tc>
          <w:tcPr>
            <w:tcW w:w="8550" w:type="dxa"/>
            <w:hideMark/>
          </w:tcPr>
          <w:p w14:paraId="12483C73" w14:textId="6C6A0B9C" w:rsidR="00E60A2B" w:rsidRDefault="006539F6" w:rsidP="00035E6E">
            <w:pPr>
              <w:spacing w:after="0"/>
            </w:pPr>
            <w:r>
              <w:t xml:space="preserve">Revisions and Corrections </w:t>
            </w:r>
            <w:sdt>
              <w:sdtPr>
                <w:alias w:val="ReLine"/>
                <w:tag w:val="iMergeField-ReLine"/>
                <w:id w:val="-1520079424"/>
                <w:placeholder>
                  <w:docPart w:val="B9625F4BE42F41E0BDA30B3914D875F6"/>
                </w:placeholder>
                <w:dataBinding w:xpath="/iCreate/iEncore/ReLine" w:storeItemID="{5EA8DD0F-1A8D-4C8E-9D89-8BE2CF88BA57}"/>
                <w:text w:multiLine="1"/>
              </w:sdtPr>
              <w:sdtEndPr/>
              <w:sdtContent>
                <w:r w:rsidR="005C0538">
                  <w:t xml:space="preserve">to Proposed ADU </w:t>
                </w:r>
                <w:r w:rsidR="0039095F">
                  <w:t xml:space="preserve">Zoning </w:t>
                </w:r>
                <w:r w:rsidR="005C0538">
                  <w:t>By</w:t>
                </w:r>
                <w:r w:rsidR="0039095F">
                  <w:t>-</w:t>
                </w:r>
                <w:r w:rsidR="005C0538">
                  <w:t>law</w:t>
                </w:r>
                <w:r w:rsidR="0039095F">
                  <w:t xml:space="preserve"> Amendments</w:t>
                </w:r>
              </w:sdtContent>
            </w:sdt>
          </w:p>
        </w:tc>
      </w:tr>
      <w:tr w:rsidR="00E60A2B" w14:paraId="2BF5B730" w14:textId="77777777" w:rsidTr="000F05F5">
        <w:tc>
          <w:tcPr>
            <w:tcW w:w="1278" w:type="dxa"/>
            <w:tcBorders>
              <w:bottom w:val="single" w:sz="4" w:space="0" w:color="auto"/>
            </w:tcBorders>
            <w:hideMark/>
          </w:tcPr>
          <w:p w14:paraId="584E4B7A" w14:textId="77777777" w:rsidR="00E60A2B" w:rsidRDefault="00E60A2B" w:rsidP="00035E6E">
            <w:pPr>
              <w:pStyle w:val="MemoHeading"/>
              <w:spacing w:after="0"/>
            </w:pPr>
            <w:r>
              <w:t>Date:</w:t>
            </w:r>
          </w:p>
        </w:tc>
        <w:sdt>
          <w:sdtPr>
            <w:alias w:val="DateLong"/>
            <w:tag w:val="iMergeField-DateLong"/>
            <w:id w:val="-1451462853"/>
            <w:placeholder>
              <w:docPart w:val="3FF2F8F96C7F4B269E1F52FE4DDE7405"/>
            </w:placeholder>
            <w:date w:fullDate="2025-02-21T00:00:00Z"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550" w:type="dxa"/>
                <w:tcBorders>
                  <w:bottom w:val="single" w:sz="4" w:space="0" w:color="auto"/>
                </w:tcBorders>
                <w:hideMark/>
              </w:tcPr>
              <w:p w14:paraId="4EB25F10" w14:textId="2A9C9391" w:rsidR="00E60A2B" w:rsidRDefault="00560D43" w:rsidP="00035E6E">
                <w:pPr>
                  <w:pStyle w:val="Date"/>
                  <w:spacing w:after="0"/>
                </w:pPr>
                <w:r>
                  <w:t xml:space="preserve">February </w:t>
                </w:r>
                <w:r w:rsidR="002072A1">
                  <w:t>21</w:t>
                </w:r>
                <w:r>
                  <w:t>, 2025</w:t>
                </w:r>
              </w:p>
            </w:tc>
          </w:sdtContent>
        </w:sdt>
      </w:tr>
    </w:tbl>
    <w:p w14:paraId="1835900C" w14:textId="77777777" w:rsidR="00035E6E" w:rsidRDefault="00035E6E" w:rsidP="00035E6E"/>
    <w:p w14:paraId="17F709E6" w14:textId="03DFFD78" w:rsidR="00FA3E26" w:rsidRDefault="00FA3E26" w:rsidP="00035E6E">
      <w:r>
        <w:t xml:space="preserve">This memorandum reviews </w:t>
      </w:r>
      <w:r w:rsidR="00E47A10">
        <w:t xml:space="preserve">both substantive and administrative </w:t>
      </w:r>
      <w:r w:rsidR="007B08BC">
        <w:t>corrections</w:t>
      </w:r>
      <w:r w:rsidR="00E47A10">
        <w:t xml:space="preserve"> recommended for the proposed ADU Zoning By-law Amendments that will be taken up at Special Town Meeting </w:t>
      </w:r>
      <w:r w:rsidR="0002362F">
        <w:t>on March 3.</w:t>
      </w:r>
    </w:p>
    <w:p w14:paraId="4C4D7E4A" w14:textId="78F68A7F" w:rsidR="00A42DDE" w:rsidRDefault="00B0705D" w:rsidP="00A42DDE">
      <w:pPr>
        <w:pStyle w:val="Heading1"/>
      </w:pPr>
      <w:r>
        <w:t>Substantive Changes</w:t>
      </w:r>
    </w:p>
    <w:p w14:paraId="57FC9D70" w14:textId="6D522F05" w:rsidR="00F42908" w:rsidRDefault="00B0705D" w:rsidP="006539F6">
      <w:r>
        <w:t xml:space="preserve">The following changes </w:t>
      </w:r>
      <w:r w:rsidR="00F42908">
        <w:t xml:space="preserve">are substantial enough </w:t>
      </w:r>
      <w:r>
        <w:t>that further Planning Board</w:t>
      </w:r>
      <w:r w:rsidR="00F30C48">
        <w:t xml:space="preserve"> review and</w:t>
      </w:r>
      <w:r>
        <w:t xml:space="preserve"> approval is needed</w:t>
      </w:r>
      <w:r w:rsidR="00CC5F7D">
        <w:t xml:space="preserve">.  In most cases, </w:t>
      </w:r>
      <w:r w:rsidR="00C575E6">
        <w:t>t</w:t>
      </w:r>
      <w:r w:rsidR="00CC5F7D">
        <w:t xml:space="preserve">he changes </w:t>
      </w:r>
      <w:r w:rsidR="00C575E6">
        <w:t xml:space="preserve">are corrections to </w:t>
      </w:r>
      <w:r w:rsidR="00CF52EE">
        <w:t xml:space="preserve">make sure the By-law works as </w:t>
      </w:r>
      <w:r w:rsidR="00C575E6">
        <w:t>intended and presented to the Planning Board.</w:t>
      </w:r>
    </w:p>
    <w:p w14:paraId="45AD21C2" w14:textId="02C8449B" w:rsidR="0039095F" w:rsidRDefault="00FA3E26" w:rsidP="006539F6">
      <w:r>
        <w:t xml:space="preserve">Suggested additions are marked in </w:t>
      </w:r>
      <w:r w:rsidRPr="00E23A73">
        <w:rPr>
          <w:color w:val="FF0000"/>
        </w:rPr>
        <w:t>red</w:t>
      </w:r>
      <w:r>
        <w:t xml:space="preserve">, and deletions in </w:t>
      </w:r>
      <w:r w:rsidRPr="00E23A73">
        <w:rPr>
          <w:strike/>
          <w:color w:val="FF0000"/>
        </w:rPr>
        <w:t xml:space="preserve">red </w:t>
      </w:r>
      <w:r>
        <w:rPr>
          <w:strike/>
          <w:color w:val="FF0000"/>
        </w:rPr>
        <w:t>with</w:t>
      </w:r>
      <w:r w:rsidRPr="00E23A73">
        <w:rPr>
          <w:strike/>
          <w:color w:val="FF0000"/>
        </w:rPr>
        <w:t xml:space="preserve"> strikethrough</w:t>
      </w:r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2700"/>
        <w:gridCol w:w="4320"/>
      </w:tblGrid>
      <w:tr w:rsidR="00660DC7" w:rsidRPr="006539F6" w14:paraId="35BA291D" w14:textId="77777777" w:rsidTr="00C97130">
        <w:tc>
          <w:tcPr>
            <w:tcW w:w="2245" w:type="dxa"/>
          </w:tcPr>
          <w:p w14:paraId="59CA855F" w14:textId="3CDFC4A3" w:rsidR="00660DC7" w:rsidRPr="006539F6" w:rsidRDefault="00660DC7" w:rsidP="00CA05D3">
            <w:pPr>
              <w:rPr>
                <w:b/>
                <w:bCs/>
                <w:szCs w:val="24"/>
              </w:rPr>
            </w:pPr>
            <w:r>
              <w:t xml:space="preserve"> </w:t>
            </w:r>
            <w:r w:rsidRPr="006539F6">
              <w:rPr>
                <w:b/>
                <w:bCs/>
                <w:szCs w:val="24"/>
              </w:rPr>
              <w:t>Location</w:t>
            </w:r>
          </w:p>
        </w:tc>
        <w:tc>
          <w:tcPr>
            <w:tcW w:w="2700" w:type="dxa"/>
          </w:tcPr>
          <w:p w14:paraId="1DC0E8F4" w14:textId="2B981D81" w:rsidR="00660DC7" w:rsidRPr="006539F6" w:rsidRDefault="00660DC7" w:rsidP="00CA05D3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Issue</w:t>
            </w:r>
          </w:p>
        </w:tc>
        <w:tc>
          <w:tcPr>
            <w:tcW w:w="4320" w:type="dxa"/>
          </w:tcPr>
          <w:p w14:paraId="496B7FA1" w14:textId="7D2E22A1" w:rsidR="00660DC7" w:rsidRPr="006539F6" w:rsidRDefault="00660DC7" w:rsidP="00CA05D3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Proposed </w:t>
            </w:r>
            <w:r w:rsidRPr="006539F6">
              <w:rPr>
                <w:b/>
                <w:bCs/>
                <w:szCs w:val="24"/>
              </w:rPr>
              <w:t>Revision</w:t>
            </w:r>
          </w:p>
        </w:tc>
      </w:tr>
      <w:tr w:rsidR="00660DC7" w:rsidRPr="006539F6" w14:paraId="4B4E7214" w14:textId="77777777" w:rsidTr="00C97130">
        <w:tc>
          <w:tcPr>
            <w:tcW w:w="2245" w:type="dxa"/>
          </w:tcPr>
          <w:p w14:paraId="41C8120E" w14:textId="04942927" w:rsidR="00660DC7" w:rsidRDefault="00660DC7" w:rsidP="00CA05D3">
            <w:pPr>
              <w:rPr>
                <w:szCs w:val="24"/>
              </w:rPr>
            </w:pPr>
            <w:r>
              <w:rPr>
                <w:szCs w:val="24"/>
              </w:rPr>
              <w:t xml:space="preserve">Section </w:t>
            </w:r>
            <w:r w:rsidR="007D1250">
              <w:rPr>
                <w:szCs w:val="24"/>
              </w:rPr>
              <w:t>6.14.2; definition of “Short-Term Rental”</w:t>
            </w:r>
          </w:p>
        </w:tc>
        <w:tc>
          <w:tcPr>
            <w:tcW w:w="2700" w:type="dxa"/>
          </w:tcPr>
          <w:p w14:paraId="2F84A1C4" w14:textId="04335795" w:rsidR="00660DC7" w:rsidRPr="006539F6" w:rsidRDefault="00360512" w:rsidP="00CA05D3">
            <w:r>
              <w:t>Because the definition of “short-term rental” in the state statute is broad, t</w:t>
            </w:r>
            <w:r w:rsidR="00660DC7">
              <w:t xml:space="preserve">he </w:t>
            </w:r>
            <w:r w:rsidR="00756E4E">
              <w:t xml:space="preserve">by-law’s </w:t>
            </w:r>
            <w:r w:rsidR="00660DC7">
              <w:t xml:space="preserve">proposed exclusion of short-term rentals arguably </w:t>
            </w:r>
            <w:r>
              <w:t xml:space="preserve">excludes ordinary leases as well. </w:t>
            </w:r>
          </w:p>
        </w:tc>
        <w:tc>
          <w:tcPr>
            <w:tcW w:w="4320" w:type="dxa"/>
          </w:tcPr>
          <w:p w14:paraId="336978BB" w14:textId="215D8559" w:rsidR="00660DC7" w:rsidRPr="006539F6" w:rsidRDefault="007D1250" w:rsidP="00CA05D3">
            <w:pPr>
              <w:rPr>
                <w:szCs w:val="24"/>
              </w:rPr>
            </w:pPr>
            <w:r w:rsidRPr="007D1250">
              <w:rPr>
                <w:color w:val="FF0000"/>
                <w:szCs w:val="24"/>
              </w:rPr>
              <w:t xml:space="preserve">Occupancy of a </w:t>
            </w:r>
            <w:r w:rsidRPr="007D1250">
              <w:rPr>
                <w:szCs w:val="24"/>
              </w:rPr>
              <w:t xml:space="preserve">Short-Term Rental, </w:t>
            </w:r>
            <w:r w:rsidRPr="007D1250">
              <w:rPr>
                <w:color w:val="FF0000"/>
                <w:szCs w:val="24"/>
              </w:rPr>
              <w:t xml:space="preserve">as those terms are </w:t>
            </w:r>
            <w:r w:rsidRPr="007D1250">
              <w:rPr>
                <w:szCs w:val="24"/>
              </w:rPr>
              <w:t>defined in M.G.L. c. 64G, § 1.</w:t>
            </w:r>
          </w:p>
        </w:tc>
      </w:tr>
      <w:tr w:rsidR="00660DC7" w14:paraId="408412F2" w14:textId="77777777" w:rsidTr="00C97130">
        <w:tc>
          <w:tcPr>
            <w:tcW w:w="2245" w:type="dxa"/>
          </w:tcPr>
          <w:p w14:paraId="1B7B48F4" w14:textId="7201329F" w:rsidR="00660DC7" w:rsidRDefault="00660DC7" w:rsidP="00CA05D3">
            <w:pPr>
              <w:rPr>
                <w:szCs w:val="24"/>
              </w:rPr>
            </w:pPr>
            <w:r>
              <w:rPr>
                <w:szCs w:val="24"/>
              </w:rPr>
              <w:t xml:space="preserve">Section </w:t>
            </w:r>
            <w:r w:rsidR="00237ED6">
              <w:t>1.4; definition of Lot Coverage; first sentence</w:t>
            </w:r>
          </w:p>
        </w:tc>
        <w:tc>
          <w:tcPr>
            <w:tcW w:w="2700" w:type="dxa"/>
          </w:tcPr>
          <w:p w14:paraId="13961B4E" w14:textId="526FDCDB" w:rsidR="00660DC7" w:rsidRDefault="00237ED6" w:rsidP="00CA05D3">
            <w:r>
              <w:t>The phrase “buildings, accessory buildings, and accessory structures” arguably excludes non-accessory structures, and is also redundant.</w:t>
            </w:r>
          </w:p>
        </w:tc>
        <w:tc>
          <w:tcPr>
            <w:tcW w:w="4320" w:type="dxa"/>
          </w:tcPr>
          <w:p w14:paraId="63AA6A64" w14:textId="56E16758" w:rsidR="00660DC7" w:rsidRPr="00237ED6" w:rsidRDefault="00237ED6" w:rsidP="00CA05D3">
            <w:r w:rsidRPr="00237ED6">
              <w:t>The percentage of lot area that is covered or occupied by buildings</w:t>
            </w:r>
            <w:r w:rsidRPr="00237ED6">
              <w:rPr>
                <w:strike/>
                <w:color w:val="FF0000"/>
              </w:rPr>
              <w:t>,</w:t>
            </w:r>
            <w:r w:rsidRPr="00237ED6">
              <w:rPr>
                <w:color w:val="FF0000"/>
              </w:rPr>
              <w:t xml:space="preserve"> or</w:t>
            </w:r>
            <w:r>
              <w:t xml:space="preserve"> </w:t>
            </w:r>
            <w:r w:rsidRPr="00237ED6">
              <w:rPr>
                <w:color w:val="FF0000"/>
              </w:rPr>
              <w:t>structures</w:t>
            </w:r>
            <w:r>
              <w:rPr>
                <w:color w:val="FF0000"/>
              </w:rPr>
              <w:t xml:space="preserve"> including</w:t>
            </w:r>
            <w:r w:rsidRPr="00237ED6">
              <w:rPr>
                <w:color w:val="FF0000"/>
              </w:rPr>
              <w:t xml:space="preserve"> </w:t>
            </w:r>
            <w:r w:rsidRPr="00237ED6">
              <w:t>accessory buildings</w:t>
            </w:r>
            <w:r w:rsidRPr="00237ED6">
              <w:rPr>
                <w:strike/>
                <w:color w:val="FF0000"/>
              </w:rPr>
              <w:t>,</w:t>
            </w:r>
            <w:r w:rsidRPr="00237ED6">
              <w:rPr>
                <w:color w:val="FF0000"/>
              </w:rPr>
              <w:t xml:space="preserve"> </w:t>
            </w:r>
            <w:r w:rsidRPr="00237ED6">
              <w:t>and accessory structures.</w:t>
            </w:r>
          </w:p>
        </w:tc>
      </w:tr>
      <w:tr w:rsidR="00D64145" w14:paraId="5441718C" w14:textId="77777777" w:rsidTr="00C97130">
        <w:tc>
          <w:tcPr>
            <w:tcW w:w="2245" w:type="dxa"/>
          </w:tcPr>
          <w:p w14:paraId="54A49C77" w14:textId="0D131122" w:rsidR="00D64145" w:rsidRDefault="00D64145" w:rsidP="00CA05D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Section 1.4</w:t>
            </w:r>
            <w:r>
              <w:rPr>
                <w:szCs w:val="24"/>
              </w:rPr>
              <w:t>; definition of Lot Coverage; second sentence</w:t>
            </w:r>
          </w:p>
        </w:tc>
        <w:tc>
          <w:tcPr>
            <w:tcW w:w="2700" w:type="dxa"/>
          </w:tcPr>
          <w:p w14:paraId="4A136D34" w14:textId="626B559F" w:rsidR="00D64145" w:rsidRDefault="00D64145" w:rsidP="00CA05D3">
            <w:r>
              <w:t>Based on a</w:t>
            </w:r>
            <w:r w:rsidR="002072A1">
              <w:t xml:space="preserve"> suggestion from Chris</w:t>
            </w:r>
            <w:r w:rsidR="001D08ED">
              <w:t xml:space="preserve"> Ryan</w:t>
            </w:r>
            <w:r w:rsidR="002072A1">
              <w:t xml:space="preserve"> and feedback from the public, this sentence (which essentially restates the first sentence) can be deleted.</w:t>
            </w:r>
          </w:p>
        </w:tc>
        <w:tc>
          <w:tcPr>
            <w:tcW w:w="4320" w:type="dxa"/>
          </w:tcPr>
          <w:p w14:paraId="665133E9" w14:textId="58775C68" w:rsidR="00D64145" w:rsidRPr="00D64145" w:rsidRDefault="00D64145" w:rsidP="00E76A31">
            <w:pPr>
              <w:numPr>
                <w:ilvl w:val="0"/>
                <w:numId w:val="5"/>
              </w:numPr>
              <w:rPr>
                <w:strike/>
                <w:color w:val="FF0000"/>
              </w:rPr>
            </w:pPr>
            <w:r w:rsidRPr="00D64145">
              <w:rPr>
                <w:strike/>
                <w:color w:val="FF0000"/>
              </w:rPr>
              <w:t>Lot coverage is the sum area of the area of all buildings and structures on the lot divided by the area of the lot.</w:t>
            </w:r>
          </w:p>
        </w:tc>
      </w:tr>
      <w:tr w:rsidR="00056F70" w14:paraId="4A559B70" w14:textId="77777777" w:rsidTr="00C97130">
        <w:tc>
          <w:tcPr>
            <w:tcW w:w="2245" w:type="dxa"/>
          </w:tcPr>
          <w:p w14:paraId="04CCCAC8" w14:textId="3E6C5D56" w:rsidR="00056F70" w:rsidRDefault="00056F70" w:rsidP="00CA05D3">
            <w:pPr>
              <w:rPr>
                <w:szCs w:val="24"/>
              </w:rPr>
            </w:pPr>
            <w:r>
              <w:rPr>
                <w:szCs w:val="24"/>
              </w:rPr>
              <w:t>Section 6.14.3(a)</w:t>
            </w:r>
          </w:p>
        </w:tc>
        <w:tc>
          <w:tcPr>
            <w:tcW w:w="2700" w:type="dxa"/>
          </w:tcPr>
          <w:p w14:paraId="3F8C200A" w14:textId="322EA19B" w:rsidR="00056F70" w:rsidRDefault="007E51AF" w:rsidP="00CA05D3">
            <w:r>
              <w:t xml:space="preserve">This is </w:t>
            </w:r>
            <w:r w:rsidR="00E36E7E">
              <w:t>a</w:t>
            </w:r>
            <w:r>
              <w:t xml:space="preserve"> simplif</w:t>
            </w:r>
            <w:r w:rsidR="00E36E7E">
              <w:t>ying change suggested by Bob McGaw</w:t>
            </w:r>
            <w:r>
              <w:t>.</w:t>
            </w:r>
          </w:p>
        </w:tc>
        <w:tc>
          <w:tcPr>
            <w:tcW w:w="4320" w:type="dxa"/>
          </w:tcPr>
          <w:p w14:paraId="7DB6011C" w14:textId="183222E3" w:rsidR="00056F70" w:rsidRPr="00D64145" w:rsidRDefault="00056F70" w:rsidP="00E76A31">
            <w:pPr>
              <w:numPr>
                <w:ilvl w:val="0"/>
                <w:numId w:val="5"/>
              </w:numPr>
              <w:rPr>
                <w:strike/>
                <w:color w:val="FF0000"/>
              </w:rPr>
            </w:pPr>
            <w:r w:rsidRPr="00056F70">
              <w:t>to both the ADU and the principal dwelling</w:t>
            </w:r>
            <w:r>
              <w:t xml:space="preserve"> </w:t>
            </w:r>
            <w:r w:rsidR="001D08ED" w:rsidRPr="00056F70">
              <w:rPr>
                <w:color w:val="FF0000"/>
              </w:rPr>
              <w:t>unless otherwise required by law or regulation</w:t>
            </w:r>
            <w:r w:rsidR="001D08ED">
              <w:rPr>
                <w:color w:val="FF0000"/>
              </w:rPr>
              <w:t xml:space="preserve"> </w:t>
            </w:r>
            <w:r w:rsidRPr="00056F70">
              <w:rPr>
                <w:strike/>
                <w:color w:val="FF0000"/>
              </w:rPr>
              <w:t>provided that a separate connection may be required by a Municipal or regional utility, investor-owned utility; by state law; by a local, regional, or state board or commission; or by court order</w:t>
            </w:r>
            <w:r w:rsidRPr="00056F70">
              <w:t>.</w:t>
            </w:r>
          </w:p>
        </w:tc>
      </w:tr>
      <w:tr w:rsidR="00003648" w14:paraId="79E352F1" w14:textId="77777777" w:rsidTr="00C97130">
        <w:tc>
          <w:tcPr>
            <w:tcW w:w="2245" w:type="dxa"/>
          </w:tcPr>
          <w:p w14:paraId="3AA22226" w14:textId="497595D1" w:rsidR="00003648" w:rsidRDefault="00003648" w:rsidP="00CA05D3">
            <w:pPr>
              <w:rPr>
                <w:szCs w:val="24"/>
              </w:rPr>
            </w:pPr>
            <w:r>
              <w:rPr>
                <w:szCs w:val="24"/>
              </w:rPr>
              <w:t>Section 6.14.5(a)</w:t>
            </w:r>
          </w:p>
        </w:tc>
        <w:tc>
          <w:tcPr>
            <w:tcW w:w="2700" w:type="dxa"/>
          </w:tcPr>
          <w:p w14:paraId="7904D7A1" w14:textId="4822565B" w:rsidR="00003648" w:rsidRDefault="00003648" w:rsidP="00CA05D3">
            <w:r>
              <w:t>Because the state regulations define “Gross Floor Area” differently the Belmont Zoning By-law, th</w:t>
            </w:r>
            <w:r w:rsidR="00C80F19">
              <w:t>e reference to Gross Floor Area here needs to use the state</w:t>
            </w:r>
            <w:r w:rsidR="00C67DCC">
              <w:t xml:space="preserve"> regulation’s</w:t>
            </w:r>
            <w:r w:rsidR="00C80F19">
              <w:t xml:space="preserve"> rather than </w:t>
            </w:r>
            <w:r w:rsidR="00C67DCC">
              <w:t>Belmont’s definition.</w:t>
            </w:r>
          </w:p>
        </w:tc>
        <w:tc>
          <w:tcPr>
            <w:tcW w:w="4320" w:type="dxa"/>
          </w:tcPr>
          <w:p w14:paraId="49D134CC" w14:textId="137BFBF9" w:rsidR="00003648" w:rsidRPr="00E76A31" w:rsidRDefault="00B6506A" w:rsidP="00B6506A">
            <w:pPr>
              <w:numPr>
                <w:ilvl w:val="0"/>
                <w:numId w:val="5"/>
              </w:numPr>
            </w:pPr>
            <w:r w:rsidRPr="00B6506A">
              <w:rPr>
                <w:rFonts w:eastAsia="Times New Roman" w:cs="Calibri"/>
                <w:szCs w:val="27"/>
              </w:rPr>
              <w:t>A Protected Use ADU may not be larger in Gross Floor Area than 1/2 the Gross Floor Area of</w:t>
            </w:r>
            <w:r w:rsidRPr="00B6506A">
              <w:rPr>
                <w:rFonts w:eastAsia="Times New Roman" w:cs="Calibri"/>
                <w:szCs w:val="27"/>
              </w:rPr>
              <w:t xml:space="preserve"> </w:t>
            </w:r>
            <w:r w:rsidRPr="00B6506A">
              <w:rPr>
                <w:rFonts w:eastAsia="Times New Roman" w:cs="Calibri"/>
                <w:szCs w:val="27"/>
              </w:rPr>
              <w:t>the Principal Dwelling or 900 square feet, whichever is smaller.</w:t>
            </w:r>
            <w:r w:rsidRPr="00B6506A">
              <w:rPr>
                <w:rFonts w:eastAsia="Times New Roman" w:cs="Calibri"/>
                <w:color w:val="FF0000"/>
                <w:szCs w:val="27"/>
              </w:rPr>
              <w:t xml:space="preserve"> </w:t>
            </w:r>
            <w:r>
              <w:rPr>
                <w:rFonts w:eastAsia="Times New Roman" w:cs="Calibri"/>
                <w:color w:val="FF0000"/>
                <w:szCs w:val="27"/>
              </w:rPr>
              <w:t xml:space="preserve"> </w:t>
            </w:r>
            <w:r w:rsidR="00003648" w:rsidRPr="00003648">
              <w:rPr>
                <w:rFonts w:eastAsia="Times New Roman" w:cs="Calibri"/>
                <w:color w:val="FF0000"/>
                <w:szCs w:val="27"/>
              </w:rPr>
              <w:t>I</w:t>
            </w:r>
            <w:r w:rsidR="00003648" w:rsidRPr="00003648">
              <w:rPr>
                <w:rFonts w:eastAsia="Times New Roman" w:cs="Calibri"/>
                <w:color w:val="FF0000"/>
                <w:szCs w:val="27"/>
              </w:rPr>
              <w:t>n this §</w:t>
            </w:r>
            <w:r w:rsidR="00003648" w:rsidRPr="00003648">
              <w:rPr>
                <w:rFonts w:eastAsia="Times New Roman" w:cs="Calibri"/>
                <w:color w:val="FF0000"/>
                <w:szCs w:val="27"/>
              </w:rPr>
              <w:t xml:space="preserve"> </w:t>
            </w:r>
            <w:r w:rsidR="00003648" w:rsidRPr="00003648">
              <w:rPr>
                <w:rFonts w:eastAsia="Times New Roman" w:cs="Calibri"/>
                <w:color w:val="FF0000"/>
                <w:szCs w:val="27"/>
              </w:rPr>
              <w:t>6.14.5</w:t>
            </w:r>
            <w:r>
              <w:rPr>
                <w:rFonts w:eastAsia="Times New Roman" w:cs="Calibri"/>
                <w:color w:val="FF0000"/>
                <w:szCs w:val="27"/>
              </w:rPr>
              <w:t>(a)</w:t>
            </w:r>
            <w:r w:rsidR="00003648" w:rsidRPr="00003648">
              <w:rPr>
                <w:rFonts w:eastAsia="Times New Roman" w:cs="Calibri"/>
                <w:color w:val="FF0000"/>
                <w:szCs w:val="27"/>
              </w:rPr>
              <w:t>, “Gross Floor Area”</w:t>
            </w:r>
            <w:r w:rsidR="00003648" w:rsidRPr="00003648">
              <w:rPr>
                <w:rFonts w:eastAsia="Times New Roman" w:cs="Calibri"/>
                <w:color w:val="FF0000"/>
                <w:szCs w:val="27"/>
              </w:rPr>
              <w:t xml:space="preserve"> is defined </w:t>
            </w:r>
            <w:r w:rsidR="00003648" w:rsidRPr="00003648">
              <w:rPr>
                <w:rFonts w:eastAsia="Times New Roman" w:cs="Calibri"/>
                <w:color w:val="FF0000"/>
                <w:szCs w:val="27"/>
              </w:rPr>
              <w:t xml:space="preserve">as </w:t>
            </w:r>
            <w:r w:rsidR="00003648" w:rsidRPr="00003648">
              <w:rPr>
                <w:rFonts w:eastAsia="Times New Roman" w:cs="Calibri"/>
                <w:color w:val="FF0000"/>
                <w:szCs w:val="27"/>
              </w:rPr>
              <w:t>in 760 CMR 71.02</w:t>
            </w:r>
            <w:r w:rsidR="00003648" w:rsidRPr="00003648">
              <w:rPr>
                <w:rFonts w:eastAsia="Times New Roman" w:cs="Calibri"/>
                <w:color w:val="FF0000"/>
                <w:szCs w:val="27"/>
              </w:rPr>
              <w:t>.</w:t>
            </w:r>
          </w:p>
        </w:tc>
      </w:tr>
      <w:tr w:rsidR="00C41A5B" w14:paraId="75FED2D5" w14:textId="77777777" w:rsidTr="00C97130">
        <w:tc>
          <w:tcPr>
            <w:tcW w:w="2245" w:type="dxa"/>
          </w:tcPr>
          <w:p w14:paraId="2CD5C4B2" w14:textId="1AAA8C94" w:rsidR="00C41A5B" w:rsidRDefault="00C41A5B" w:rsidP="00CA05D3">
            <w:pPr>
              <w:rPr>
                <w:szCs w:val="24"/>
              </w:rPr>
            </w:pPr>
            <w:r>
              <w:rPr>
                <w:szCs w:val="24"/>
              </w:rPr>
              <w:t>Section 6.1</w:t>
            </w:r>
            <w:r w:rsidR="00F06C6F">
              <w:rPr>
                <w:szCs w:val="24"/>
              </w:rPr>
              <w:t>4.5(b)</w:t>
            </w:r>
          </w:p>
        </w:tc>
        <w:tc>
          <w:tcPr>
            <w:tcW w:w="2700" w:type="dxa"/>
          </w:tcPr>
          <w:p w14:paraId="1FE7A36D" w14:textId="1344C45F" w:rsidR="00C41A5B" w:rsidRDefault="00E76A31" w:rsidP="00CA05D3">
            <w:r>
              <w:t>This creates a conflict with Section 4.3.5(b)(2), which provides that s</w:t>
            </w:r>
            <w:r w:rsidR="00F06C6F">
              <w:t>tandard accessory-building setbacks in Belmont are only 5’</w:t>
            </w:r>
            <w:r>
              <w:t>.</w:t>
            </w:r>
          </w:p>
        </w:tc>
        <w:tc>
          <w:tcPr>
            <w:tcW w:w="4320" w:type="dxa"/>
          </w:tcPr>
          <w:p w14:paraId="1475605F" w14:textId="40B70881" w:rsidR="00C41A5B" w:rsidRPr="00237ED6" w:rsidRDefault="00E76A31" w:rsidP="00CA05D3">
            <w:pPr>
              <w:numPr>
                <w:ilvl w:val="0"/>
                <w:numId w:val="5"/>
              </w:numPr>
            </w:pPr>
            <w:r w:rsidRPr="00E76A31">
              <w:t xml:space="preserve">ADUs shall be subject to the height and </w:t>
            </w:r>
            <w:r w:rsidR="00EA57D4" w:rsidRPr="00EA57D4">
              <w:rPr>
                <w:color w:val="FF0000"/>
              </w:rPr>
              <w:t xml:space="preserve">Front </w:t>
            </w:r>
            <w:r w:rsidRPr="00E76A31">
              <w:t>Setback requirements applicable to the Structure in which the principal Dwelling Unit is located</w:t>
            </w:r>
            <w:r w:rsidRPr="00843BD8">
              <w:rPr>
                <w:color w:val="FF0000"/>
              </w:rPr>
              <w:t>, and the setback requirements of Section 4.3.5(b)(2)</w:t>
            </w:r>
            <w:r w:rsidRPr="00E76A31">
              <w:t xml:space="preserve">. </w:t>
            </w:r>
          </w:p>
        </w:tc>
      </w:tr>
      <w:tr w:rsidR="00EF14AB" w14:paraId="5CCADA78" w14:textId="77777777" w:rsidTr="00C97130">
        <w:tc>
          <w:tcPr>
            <w:tcW w:w="2245" w:type="dxa"/>
          </w:tcPr>
          <w:p w14:paraId="1DAF6F21" w14:textId="235793DF" w:rsidR="00EF14AB" w:rsidRDefault="00EF14AB" w:rsidP="00CA05D3">
            <w:pPr>
              <w:rPr>
                <w:szCs w:val="24"/>
              </w:rPr>
            </w:pPr>
            <w:r>
              <w:rPr>
                <w:szCs w:val="24"/>
              </w:rPr>
              <w:t>Section 6.14.7(g)</w:t>
            </w:r>
          </w:p>
        </w:tc>
        <w:tc>
          <w:tcPr>
            <w:tcW w:w="2700" w:type="dxa"/>
          </w:tcPr>
          <w:p w14:paraId="5A70A213" w14:textId="2636100C" w:rsidR="00EF14AB" w:rsidRDefault="00EF14AB" w:rsidP="00CA05D3">
            <w:r>
              <w:t>Exceeds the scope of permissible</w:t>
            </w:r>
            <w:r w:rsidR="00C97130">
              <w:t xml:space="preserve"> </w:t>
            </w:r>
            <w:r w:rsidR="00A321B5">
              <w:t xml:space="preserve">historic </w:t>
            </w:r>
            <w:r w:rsidR="00C97130">
              <w:t>design requirements</w:t>
            </w:r>
            <w:r>
              <w:t xml:space="preserve"> under the state regulations.</w:t>
            </w:r>
          </w:p>
          <w:p w14:paraId="3AC8E502" w14:textId="5A96FD8A" w:rsidR="00C97130" w:rsidRDefault="00C97130" w:rsidP="00CA05D3">
            <w:r w:rsidRPr="00C97130">
              <w:t>The regulations require that</w:t>
            </w:r>
            <w:r w:rsidR="007F6500">
              <w:t xml:space="preserve"> design</w:t>
            </w:r>
            <w:r w:rsidRPr="00C97130">
              <w:t xml:space="preserve"> standards for ADUs be no more </w:t>
            </w:r>
            <w:r w:rsidRPr="00C97130">
              <w:lastRenderedPageBreak/>
              <w:t xml:space="preserve">restrictive than for the primary dwelling </w:t>
            </w:r>
            <w:r w:rsidRPr="00C97130">
              <w:rPr>
                <w:i/>
                <w:iCs/>
              </w:rPr>
              <w:t xml:space="preserve">unless </w:t>
            </w:r>
            <w:r w:rsidRPr="00C97130">
              <w:t xml:space="preserve">the building is located in a Historic District. That </w:t>
            </w:r>
            <w:r w:rsidR="00775528">
              <w:t xml:space="preserve">limits Belmont’s ability to impose design requirements on </w:t>
            </w:r>
            <w:r w:rsidRPr="00C97130">
              <w:t xml:space="preserve">Historic Accessory Buildings (HABs) </w:t>
            </w:r>
            <w:r w:rsidR="00775528">
              <w:t xml:space="preserve">outside </w:t>
            </w:r>
            <w:r w:rsidRPr="00C97130">
              <w:t>a Historic District, and the treatment of any ADUs in Historic Buildings has to be consistent with the treatment of the primary building under Section 60-320. </w:t>
            </w:r>
          </w:p>
          <w:p w14:paraId="6E471070" w14:textId="61D47508" w:rsidR="00131241" w:rsidRDefault="00131241" w:rsidP="00CA05D3">
            <w:r>
              <w:t>Chris</w:t>
            </w:r>
            <w:r w:rsidR="001D08ED">
              <w:t xml:space="preserve"> Ryan</w:t>
            </w:r>
            <w:r>
              <w:t xml:space="preserve"> and I noted this issue earlier but failed to carry the recommended change through to the current draft.</w:t>
            </w:r>
          </w:p>
        </w:tc>
        <w:tc>
          <w:tcPr>
            <w:tcW w:w="4320" w:type="dxa"/>
          </w:tcPr>
          <w:p w14:paraId="199D552A" w14:textId="77777777" w:rsidR="00EF14AB" w:rsidRPr="00EF14AB" w:rsidRDefault="00EF14AB" w:rsidP="00EF14AB">
            <w:pPr>
              <w:numPr>
                <w:ilvl w:val="0"/>
                <w:numId w:val="5"/>
              </w:numPr>
              <w:rPr>
                <w:strike/>
                <w:color w:val="FF0000"/>
              </w:rPr>
            </w:pPr>
            <w:r w:rsidRPr="00EF14AB">
              <w:rPr>
                <w:strike/>
                <w:color w:val="FF0000"/>
              </w:rPr>
              <w:lastRenderedPageBreak/>
              <w:t xml:space="preserve">(g) ADUs located in a Historic District, proposed in a historic Building that requires exterior renovations or additions, or located in a Historic Accessory Building, shall require a Certificate of Appropriateness from the Historic District Commission in addition to any Design and Site Plan Review applicability that </w:t>
            </w:r>
            <w:r w:rsidRPr="00EF14AB">
              <w:rPr>
                <w:strike/>
                <w:color w:val="FF0000"/>
              </w:rPr>
              <w:lastRenderedPageBreak/>
              <w:t>may be required as per Section 6.14.7 below.</w:t>
            </w:r>
          </w:p>
          <w:p w14:paraId="66495D97" w14:textId="74FD0E4E" w:rsidR="00EF14AB" w:rsidRPr="00EF14AB" w:rsidRDefault="00EF14AB" w:rsidP="00EF14AB">
            <w:pPr>
              <w:numPr>
                <w:ilvl w:val="0"/>
                <w:numId w:val="5"/>
              </w:numPr>
              <w:rPr>
                <w:color w:val="FF0000"/>
              </w:rPr>
            </w:pPr>
            <w:r w:rsidRPr="00EF14AB">
              <w:rPr>
                <w:color w:val="FF0000"/>
              </w:rPr>
              <w:t>(g) An ADU proposed to be located in a Historic District shall require a Certificate of Appropriateness from the Historic District Commission in addition to any Design and Site Plan Review that may be required as per Section 6.14.8 below.</w:t>
            </w:r>
          </w:p>
          <w:p w14:paraId="374E9585" w14:textId="5865584C" w:rsidR="00EF14AB" w:rsidRPr="00EF14AB" w:rsidRDefault="00EF14AB" w:rsidP="00EF14AB">
            <w:pPr>
              <w:numPr>
                <w:ilvl w:val="0"/>
                <w:numId w:val="5"/>
              </w:numPr>
              <w:rPr>
                <w:color w:val="FF0000"/>
              </w:rPr>
            </w:pPr>
            <w:r w:rsidRPr="00EF14AB">
              <w:rPr>
                <w:color w:val="FF0000"/>
              </w:rPr>
              <w:t>(h) The provisions of Section 60-320 of the Town’s General Bylaws shall apply to any proposal to locate an ADU in a Historic Building.</w:t>
            </w:r>
          </w:p>
        </w:tc>
      </w:tr>
    </w:tbl>
    <w:p w14:paraId="029F0DE7" w14:textId="7CF5B9DC" w:rsidR="0039095F" w:rsidRDefault="0039095F" w:rsidP="006539F6"/>
    <w:p w14:paraId="6EA42BF4" w14:textId="2510BFC6" w:rsidR="006539F6" w:rsidRDefault="006539F6" w:rsidP="006539F6">
      <w:pPr>
        <w:pStyle w:val="Heading1"/>
      </w:pPr>
      <w:r>
        <w:t>Administrative Corrections</w:t>
      </w:r>
    </w:p>
    <w:p w14:paraId="2AAECB5C" w14:textId="501E54F7" w:rsidR="00906D93" w:rsidRDefault="00A97202" w:rsidP="00640EDF">
      <w:r>
        <w:t xml:space="preserve">This running list of minor </w:t>
      </w:r>
      <w:r w:rsidR="004D3E03">
        <w:t xml:space="preserve">grammar, spelling, and similar corrections </w:t>
      </w:r>
      <w:r w:rsidR="00640EDF">
        <w:t xml:space="preserve">is included here for </w:t>
      </w:r>
      <w:r w:rsidR="002E7E54">
        <w:t>the Planning Board’s</w:t>
      </w:r>
      <w:r w:rsidR="00640EDF">
        <w:t xml:space="preserve"> reference.  </w:t>
      </w:r>
      <w:r w:rsidR="001D08ED">
        <w:t>On February 4, t</w:t>
      </w:r>
      <w:r w:rsidR="002E7E54">
        <w:t>he Board authorized</w:t>
      </w:r>
      <w:r w:rsidR="00640EDF">
        <w:t xml:space="preserve"> Chris to incorporate such changes without further </w:t>
      </w:r>
      <w:r w:rsidR="002E7E54">
        <w:t>review</w:t>
      </w:r>
      <w:r w:rsidR="00640EDF">
        <w:t>.</w:t>
      </w:r>
    </w:p>
    <w:p w14:paraId="2E285202" w14:textId="4553CE1B" w:rsidR="007D1250" w:rsidRPr="00906D93" w:rsidRDefault="007D1250" w:rsidP="00906D93">
      <w:r>
        <w:t xml:space="preserve">As in Section I of this memorandum, </w:t>
      </w:r>
      <w:r w:rsidR="00E23A73">
        <w:t xml:space="preserve">suggested </w:t>
      </w:r>
      <w:r>
        <w:t xml:space="preserve">additions are marked in </w:t>
      </w:r>
      <w:r w:rsidRPr="00E23A73">
        <w:rPr>
          <w:color w:val="FF0000"/>
        </w:rPr>
        <w:t>red</w:t>
      </w:r>
      <w:r>
        <w:t xml:space="preserve">, and deletions in </w:t>
      </w:r>
      <w:r w:rsidRPr="00E23A73">
        <w:rPr>
          <w:strike/>
          <w:color w:val="FF0000"/>
        </w:rPr>
        <w:t xml:space="preserve">red </w:t>
      </w:r>
      <w:r w:rsidR="00E23A73">
        <w:rPr>
          <w:strike/>
          <w:color w:val="FF0000"/>
        </w:rPr>
        <w:t>with</w:t>
      </w:r>
      <w:r w:rsidRPr="00E23A73">
        <w:rPr>
          <w:strike/>
          <w:color w:val="FF0000"/>
        </w:rPr>
        <w:t xml:space="preserve"> strikethrough</w:t>
      </w:r>
      <w:r>
        <w:t>.</w:t>
      </w:r>
      <w:r w:rsidR="004D3E03">
        <w:t xml:space="preserve">  The “Added” column describes when and how the need for a correction was found.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2"/>
        <w:gridCol w:w="4343"/>
        <w:gridCol w:w="1705"/>
      </w:tblGrid>
      <w:tr w:rsidR="00906D93" w14:paraId="02FAEB7F" w14:textId="40EA9FAC" w:rsidTr="00906D93">
        <w:tc>
          <w:tcPr>
            <w:tcW w:w="3302" w:type="dxa"/>
          </w:tcPr>
          <w:p w14:paraId="7BB00326" w14:textId="56E3491D" w:rsidR="00906D93" w:rsidRPr="006539F6" w:rsidRDefault="00906D93" w:rsidP="006539F6">
            <w:pPr>
              <w:rPr>
                <w:b/>
                <w:bCs/>
                <w:szCs w:val="24"/>
              </w:rPr>
            </w:pPr>
            <w:r w:rsidRPr="006539F6">
              <w:rPr>
                <w:b/>
                <w:bCs/>
                <w:szCs w:val="24"/>
              </w:rPr>
              <w:t>Location</w:t>
            </w:r>
          </w:p>
        </w:tc>
        <w:tc>
          <w:tcPr>
            <w:tcW w:w="4343" w:type="dxa"/>
          </w:tcPr>
          <w:p w14:paraId="2A75C45D" w14:textId="1BFB1F0F" w:rsidR="00906D93" w:rsidRPr="006539F6" w:rsidRDefault="00906D93" w:rsidP="006539F6">
            <w:pPr>
              <w:rPr>
                <w:b/>
                <w:bCs/>
                <w:szCs w:val="24"/>
              </w:rPr>
            </w:pPr>
            <w:r w:rsidRPr="006539F6">
              <w:rPr>
                <w:b/>
                <w:bCs/>
                <w:szCs w:val="24"/>
              </w:rPr>
              <w:t>Revision</w:t>
            </w:r>
          </w:p>
        </w:tc>
        <w:tc>
          <w:tcPr>
            <w:tcW w:w="1705" w:type="dxa"/>
          </w:tcPr>
          <w:p w14:paraId="03FC5C49" w14:textId="41FBE58F" w:rsidR="00906D93" w:rsidRPr="006539F6" w:rsidRDefault="00906D93" w:rsidP="006539F6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Added</w:t>
            </w:r>
          </w:p>
        </w:tc>
      </w:tr>
      <w:tr w:rsidR="00906D93" w14:paraId="7BA0942A" w14:textId="036D04FC" w:rsidTr="00906D93">
        <w:tc>
          <w:tcPr>
            <w:tcW w:w="3302" w:type="dxa"/>
          </w:tcPr>
          <w:p w14:paraId="6E1DD14D" w14:textId="64FD87F5" w:rsidR="00906D93" w:rsidRDefault="00906D93" w:rsidP="006539F6">
            <w:pPr>
              <w:rPr>
                <w:szCs w:val="24"/>
              </w:rPr>
            </w:pPr>
            <w:r>
              <w:rPr>
                <w:szCs w:val="24"/>
              </w:rPr>
              <w:t>Section 1.4; definition of Lot Coverage; second sentence.</w:t>
            </w:r>
          </w:p>
        </w:tc>
        <w:tc>
          <w:tcPr>
            <w:tcW w:w="4343" w:type="dxa"/>
          </w:tcPr>
          <w:p w14:paraId="08F35F6D" w14:textId="053022ED" w:rsidR="00906D93" w:rsidRPr="006539F6" w:rsidRDefault="00906D93" w:rsidP="006539F6">
            <w:pPr>
              <w:rPr>
                <w:szCs w:val="24"/>
              </w:rPr>
            </w:pPr>
            <w:r w:rsidRPr="006539F6">
              <w:t xml:space="preserve">Lot coverage is the sum </w:t>
            </w:r>
            <w:r w:rsidRPr="006539F6">
              <w:rPr>
                <w:strike/>
                <w:color w:val="FF0000"/>
              </w:rPr>
              <w:t>area</w:t>
            </w:r>
            <w:r w:rsidRPr="006539F6">
              <w:rPr>
                <w:color w:val="FF0000"/>
              </w:rPr>
              <w:t xml:space="preserve"> </w:t>
            </w:r>
            <w:r w:rsidRPr="006539F6">
              <w:t>of the area of all buildings and structures on the lot divided by the area of the lot.</w:t>
            </w:r>
          </w:p>
        </w:tc>
        <w:tc>
          <w:tcPr>
            <w:tcW w:w="1705" w:type="dxa"/>
          </w:tcPr>
          <w:p w14:paraId="0864EE53" w14:textId="341F5132" w:rsidR="00906D93" w:rsidRPr="006539F6" w:rsidRDefault="00906D93" w:rsidP="006539F6">
            <w:r>
              <w:t>2/13/2025</w:t>
            </w:r>
            <w:r w:rsidR="006A59A3">
              <w:t xml:space="preserve"> (CR)</w:t>
            </w:r>
          </w:p>
        </w:tc>
      </w:tr>
      <w:tr w:rsidR="00906D93" w14:paraId="274749E6" w14:textId="2317912A" w:rsidTr="00906D93">
        <w:tc>
          <w:tcPr>
            <w:tcW w:w="3302" w:type="dxa"/>
          </w:tcPr>
          <w:p w14:paraId="5998A23F" w14:textId="3067620E" w:rsidR="00906D93" w:rsidRDefault="00906D93" w:rsidP="006539F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Section </w:t>
            </w:r>
            <w:r>
              <w:t>6.14.8(d)(1)</w:t>
            </w:r>
          </w:p>
        </w:tc>
        <w:tc>
          <w:tcPr>
            <w:tcW w:w="4343" w:type="dxa"/>
          </w:tcPr>
          <w:p w14:paraId="4F952207" w14:textId="050AB7B6" w:rsidR="00906D93" w:rsidRPr="006539F6" w:rsidRDefault="00906D93" w:rsidP="00426E14">
            <w:r>
              <w:t>“</w:t>
            </w:r>
            <w:r w:rsidR="00426E14">
              <w:t xml:space="preserve">The construction of the ADU will </w:t>
            </w:r>
            <w:r>
              <w:t>exceed</w:t>
            </w:r>
            <w:r w:rsidRPr="00906D93">
              <w:rPr>
                <w:strike/>
                <w:color w:val="FF0000"/>
              </w:rPr>
              <w:t>s</w:t>
            </w:r>
            <w:r>
              <w:t xml:space="preserve">” </w:t>
            </w:r>
          </w:p>
        </w:tc>
        <w:tc>
          <w:tcPr>
            <w:tcW w:w="1705" w:type="dxa"/>
          </w:tcPr>
          <w:p w14:paraId="5A28B5C6" w14:textId="3B9183E1" w:rsidR="00906D93" w:rsidRDefault="00906D93" w:rsidP="006539F6">
            <w:r>
              <w:t>2/13/2025</w:t>
            </w:r>
            <w:r w:rsidR="006A59A3">
              <w:t xml:space="preserve"> (CR)</w:t>
            </w:r>
          </w:p>
        </w:tc>
      </w:tr>
      <w:tr w:rsidR="006A59A3" w14:paraId="374894B8" w14:textId="77777777" w:rsidTr="00906D93">
        <w:tc>
          <w:tcPr>
            <w:tcW w:w="3302" w:type="dxa"/>
          </w:tcPr>
          <w:p w14:paraId="5C570AE1" w14:textId="5B4A0452" w:rsidR="006A59A3" w:rsidRDefault="006A59A3" w:rsidP="006539F6">
            <w:pPr>
              <w:rPr>
                <w:szCs w:val="24"/>
              </w:rPr>
            </w:pPr>
            <w:r>
              <w:rPr>
                <w:szCs w:val="24"/>
              </w:rPr>
              <w:t>Section 6.14.10(b)</w:t>
            </w:r>
          </w:p>
        </w:tc>
        <w:tc>
          <w:tcPr>
            <w:tcW w:w="4343" w:type="dxa"/>
          </w:tcPr>
          <w:p w14:paraId="12493740" w14:textId="73158BC8" w:rsidR="006A59A3" w:rsidRDefault="006A59A3" w:rsidP="00426E14">
            <w:r>
              <w:t xml:space="preserve">“under this </w:t>
            </w:r>
            <w:r w:rsidRPr="006A59A3">
              <w:rPr>
                <w:strike/>
                <w:color w:val="FF0000"/>
              </w:rPr>
              <w:t>ordinance</w:t>
            </w:r>
            <w:r w:rsidRPr="006A59A3">
              <w:rPr>
                <w:color w:val="FF0000"/>
              </w:rPr>
              <w:t xml:space="preserve"> By-Law</w:t>
            </w:r>
            <w:r>
              <w:t>”</w:t>
            </w:r>
          </w:p>
        </w:tc>
        <w:tc>
          <w:tcPr>
            <w:tcW w:w="1705" w:type="dxa"/>
          </w:tcPr>
          <w:p w14:paraId="1DD9601A" w14:textId="118FDF8D" w:rsidR="006A59A3" w:rsidRDefault="006A59A3" w:rsidP="006539F6">
            <w:r>
              <w:t>2/17/2025 (BM)</w:t>
            </w:r>
          </w:p>
        </w:tc>
      </w:tr>
      <w:tr w:rsidR="006A59A3" w14:paraId="10C29CE9" w14:textId="77777777" w:rsidTr="00906D93">
        <w:tc>
          <w:tcPr>
            <w:tcW w:w="3302" w:type="dxa"/>
          </w:tcPr>
          <w:p w14:paraId="2B0EECBE" w14:textId="1448D818" w:rsidR="006A59A3" w:rsidRDefault="006A59A3" w:rsidP="006539F6">
            <w:pPr>
              <w:rPr>
                <w:szCs w:val="24"/>
              </w:rPr>
            </w:pPr>
            <w:r>
              <w:rPr>
                <w:szCs w:val="24"/>
              </w:rPr>
              <w:t>Section 6.14.5(d)*</w:t>
            </w:r>
          </w:p>
        </w:tc>
        <w:tc>
          <w:tcPr>
            <w:tcW w:w="4343" w:type="dxa"/>
          </w:tcPr>
          <w:p w14:paraId="769CF276" w14:textId="18FEC2CC" w:rsidR="006A59A3" w:rsidRDefault="006A59A3" w:rsidP="00426E14">
            <w:r>
              <w:t>“</w:t>
            </w:r>
            <w:r w:rsidRPr="006A59A3">
              <w:rPr>
                <w:strike/>
                <w:color w:val="FF0000"/>
              </w:rPr>
              <w:t>outside of the Transit Adjacent Area</w:t>
            </w:r>
            <w:r w:rsidRPr="006A59A3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 xml:space="preserve">the Lot is not a </w:t>
            </w:r>
            <w:r w:rsidRPr="006A59A3">
              <w:rPr>
                <w:color w:val="FF0000"/>
              </w:rPr>
              <w:t>Transit-Adjacent Lot</w:t>
            </w:r>
            <w:r>
              <w:t>”</w:t>
            </w:r>
          </w:p>
        </w:tc>
        <w:tc>
          <w:tcPr>
            <w:tcW w:w="1705" w:type="dxa"/>
          </w:tcPr>
          <w:p w14:paraId="7E0E96F8" w14:textId="13A91384" w:rsidR="006A59A3" w:rsidRDefault="006C103D" w:rsidP="006539F6">
            <w:r>
              <w:t>2/17/2025 (BM)</w:t>
            </w:r>
          </w:p>
        </w:tc>
      </w:tr>
      <w:tr w:rsidR="00DF2A87" w14:paraId="0ED3219E" w14:textId="77777777" w:rsidTr="00906D93">
        <w:tc>
          <w:tcPr>
            <w:tcW w:w="3302" w:type="dxa"/>
          </w:tcPr>
          <w:p w14:paraId="67E75607" w14:textId="53C2F443" w:rsidR="00DF2A87" w:rsidRDefault="00DF2A87" w:rsidP="006539F6">
            <w:pPr>
              <w:rPr>
                <w:szCs w:val="24"/>
              </w:rPr>
            </w:pPr>
            <w:r>
              <w:rPr>
                <w:szCs w:val="24"/>
              </w:rPr>
              <w:t>Various</w:t>
            </w:r>
          </w:p>
        </w:tc>
        <w:tc>
          <w:tcPr>
            <w:tcW w:w="4343" w:type="dxa"/>
          </w:tcPr>
          <w:p w14:paraId="30DC414E" w14:textId="1BEE0735" w:rsidR="00DF2A87" w:rsidRDefault="00DF2A87" w:rsidP="00426E14">
            <w:r>
              <w:t>Capitalization suggestions from Bob McGaw</w:t>
            </w:r>
            <w:r w:rsidR="00192490">
              <w:t xml:space="preserve"> in his email of February 20, 2025.</w:t>
            </w:r>
          </w:p>
        </w:tc>
        <w:tc>
          <w:tcPr>
            <w:tcW w:w="1705" w:type="dxa"/>
          </w:tcPr>
          <w:p w14:paraId="0CC2235B" w14:textId="113FDE76" w:rsidR="00DF2A87" w:rsidRDefault="00DF2A87" w:rsidP="006539F6">
            <w:r>
              <w:t>2/20/2025 (BM)</w:t>
            </w:r>
          </w:p>
        </w:tc>
      </w:tr>
      <w:tr w:rsidR="00DF2A87" w14:paraId="111AF369" w14:textId="77777777" w:rsidTr="00906D93">
        <w:tc>
          <w:tcPr>
            <w:tcW w:w="3302" w:type="dxa"/>
          </w:tcPr>
          <w:p w14:paraId="09360C91" w14:textId="0DC39971" w:rsidR="00DF2A87" w:rsidRDefault="0063014A" w:rsidP="006539F6">
            <w:pPr>
              <w:rPr>
                <w:szCs w:val="24"/>
              </w:rPr>
            </w:pPr>
            <w:r>
              <w:rPr>
                <w:szCs w:val="24"/>
              </w:rPr>
              <w:t>Section 6.14.3</w:t>
            </w:r>
          </w:p>
        </w:tc>
        <w:tc>
          <w:tcPr>
            <w:tcW w:w="4343" w:type="dxa"/>
          </w:tcPr>
          <w:p w14:paraId="798CDF81" w14:textId="68675B3B" w:rsidR="00DF2A87" w:rsidRDefault="0063014A" w:rsidP="00426E14">
            <w:r>
              <w:t>“another Dwelling Unit</w:t>
            </w:r>
            <w:r w:rsidRPr="0063014A">
              <w:rPr>
                <w:color w:val="FF0000"/>
              </w:rPr>
              <w:t>,</w:t>
            </w:r>
            <w:r>
              <w:t xml:space="preserve"> subject to the following”</w:t>
            </w:r>
          </w:p>
        </w:tc>
        <w:tc>
          <w:tcPr>
            <w:tcW w:w="1705" w:type="dxa"/>
          </w:tcPr>
          <w:p w14:paraId="2C6746FC" w14:textId="4A32E6D8" w:rsidR="00DF2A87" w:rsidRDefault="0063014A" w:rsidP="006539F6">
            <w:r>
              <w:t>2/20/2025 (BM)</w:t>
            </w:r>
          </w:p>
        </w:tc>
      </w:tr>
      <w:tr w:rsidR="00131241" w14:paraId="3D3EDFD4" w14:textId="77777777" w:rsidTr="00906D93">
        <w:tc>
          <w:tcPr>
            <w:tcW w:w="3302" w:type="dxa"/>
          </w:tcPr>
          <w:p w14:paraId="0DA37727" w14:textId="3248A9C5" w:rsidR="00131241" w:rsidRDefault="00973BAD" w:rsidP="006539F6">
            <w:pPr>
              <w:rPr>
                <w:szCs w:val="24"/>
              </w:rPr>
            </w:pPr>
            <w:r>
              <w:rPr>
                <w:szCs w:val="24"/>
              </w:rPr>
              <w:t xml:space="preserve">Section </w:t>
            </w:r>
            <w:r w:rsidR="00131241">
              <w:rPr>
                <w:szCs w:val="24"/>
              </w:rPr>
              <w:t>6.14.8(b)</w:t>
            </w:r>
          </w:p>
        </w:tc>
        <w:tc>
          <w:tcPr>
            <w:tcW w:w="4343" w:type="dxa"/>
          </w:tcPr>
          <w:p w14:paraId="531EDC4C" w14:textId="4B5BA62A" w:rsidR="00131241" w:rsidRDefault="00973BAD" w:rsidP="00426E14">
            <w:r>
              <w:t>“</w:t>
            </w:r>
            <w:r w:rsidRPr="00973BAD">
              <w:rPr>
                <w:strike/>
                <w:color w:val="FF0000"/>
              </w:rPr>
              <w:t>State</w:t>
            </w:r>
            <w:r w:rsidRPr="00973BAD">
              <w:rPr>
                <w:color w:val="FF0000"/>
              </w:rPr>
              <w:t xml:space="preserve"> Commonwealth</w:t>
            </w:r>
            <w:r>
              <w:t xml:space="preserve"> of Massachusetts”</w:t>
            </w:r>
          </w:p>
        </w:tc>
        <w:tc>
          <w:tcPr>
            <w:tcW w:w="1705" w:type="dxa"/>
          </w:tcPr>
          <w:p w14:paraId="61F6343C" w14:textId="0BD2E5BE" w:rsidR="00131241" w:rsidRDefault="00973BAD" w:rsidP="006539F6">
            <w:r>
              <w:t>2/20/2025 (BM)</w:t>
            </w:r>
          </w:p>
        </w:tc>
      </w:tr>
      <w:tr w:rsidR="00973BAD" w14:paraId="2CA12117" w14:textId="77777777" w:rsidTr="00906D93">
        <w:tc>
          <w:tcPr>
            <w:tcW w:w="3302" w:type="dxa"/>
          </w:tcPr>
          <w:p w14:paraId="4015EE7C" w14:textId="7F9D843D" w:rsidR="00973BAD" w:rsidRDefault="00973BAD" w:rsidP="006539F6">
            <w:pPr>
              <w:rPr>
                <w:szCs w:val="24"/>
              </w:rPr>
            </w:pPr>
            <w:r>
              <w:rPr>
                <w:szCs w:val="24"/>
              </w:rPr>
              <w:t>Section 6.14.11</w:t>
            </w:r>
          </w:p>
        </w:tc>
        <w:tc>
          <w:tcPr>
            <w:tcW w:w="4343" w:type="dxa"/>
          </w:tcPr>
          <w:p w14:paraId="246AE437" w14:textId="460BEDFE" w:rsidR="00973BAD" w:rsidRDefault="00973BAD" w:rsidP="00426E14">
            <w:r>
              <w:t>“of this Section</w:t>
            </w:r>
            <w:r w:rsidRPr="00973BAD">
              <w:rPr>
                <w:color w:val="FF0000"/>
              </w:rPr>
              <w:t xml:space="preserve"> 6.14</w:t>
            </w:r>
            <w:r>
              <w:t>.”</w:t>
            </w:r>
          </w:p>
        </w:tc>
        <w:tc>
          <w:tcPr>
            <w:tcW w:w="1705" w:type="dxa"/>
          </w:tcPr>
          <w:p w14:paraId="33C1CB4D" w14:textId="7F89BBFF" w:rsidR="00973BAD" w:rsidRDefault="00973BAD" w:rsidP="006539F6">
            <w:r>
              <w:t>2/20/2025 (BM)</w:t>
            </w:r>
          </w:p>
        </w:tc>
      </w:tr>
    </w:tbl>
    <w:p w14:paraId="579CC1B8" w14:textId="77777777" w:rsidR="006539F6" w:rsidRPr="006539F6" w:rsidRDefault="006539F6" w:rsidP="006539F6">
      <w:pPr>
        <w:rPr>
          <w:szCs w:val="24"/>
        </w:rPr>
      </w:pPr>
    </w:p>
    <w:sectPr w:rsidR="006539F6" w:rsidRPr="006539F6" w:rsidSect="000F05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610" w:right="1440" w:bottom="1440" w:left="1440" w:header="131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53FFF" w14:textId="77777777" w:rsidR="000F05F5" w:rsidRDefault="000F05F5" w:rsidP="004113A4">
      <w:r>
        <w:separator/>
      </w:r>
    </w:p>
  </w:endnote>
  <w:endnote w:type="continuationSeparator" w:id="0">
    <w:p w14:paraId="3B61C24D" w14:textId="77777777" w:rsidR="000F05F5" w:rsidRDefault="000F05F5" w:rsidP="00411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Fax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530C9" w14:textId="77777777" w:rsidR="00C37259" w:rsidRPr="00C37259" w:rsidRDefault="00C37259">
    <w:pPr>
      <w:pStyle w:val="Footer"/>
    </w:pPr>
    <w:r>
      <w:rPr>
        <w:rStyle w:val="DocID"/>
      </w:rPr>
      <w:t>{}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3F8AD" w14:textId="77777777" w:rsidR="00173F16" w:rsidRDefault="00173F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LetterheadFooter"/>
      <w:tag w:val="iMergeField-LetterheadFooter"/>
      <w:id w:val="77714049"/>
    </w:sdtPr>
    <w:sdtEndPr/>
    <w:sdtContent>
      <w:p w14:paraId="5D69E236" w14:textId="77777777" w:rsidR="000F05F5" w:rsidRPr="003954FD" w:rsidRDefault="00E36E7E" w:rsidP="003954FD">
        <w:pPr>
          <w:tabs>
            <w:tab w:val="center" w:pos="4680"/>
            <w:tab w:val="right" w:pos="9360"/>
          </w:tabs>
          <w:spacing w:line="360" w:lineRule="auto"/>
          <w:jc w:val="right"/>
          <w:rPr>
            <w:rFonts w:ascii="Arial" w:eastAsia="Times New Roman" w:hAnsi="Arial" w:cs="Arial"/>
            <w:color w:val="494C49"/>
            <w:sz w:val="18"/>
            <w:szCs w:val="18"/>
          </w:rPr>
        </w:pPr>
        <w:r>
          <w:rPr>
            <w:rFonts w:ascii="Arial" w:eastAsia="Times New Roman" w:hAnsi="Arial" w:cs="Arial"/>
            <w:color w:val="494C49"/>
            <w:sz w:val="18"/>
            <w:szCs w:val="18"/>
          </w:rPr>
          <w:pict w14:anchorId="53F9A19F">
            <v:rect id="_x0000_i1025" style="width:446.25pt;height:.75pt" o:hrpct="0" o:hralign="right" o:hrstd="t" o:hrnoshade="t" o:hr="t" fillcolor="#8ab2ba" stroked="f"/>
          </w:pict>
        </w:r>
      </w:p>
      <w:p w14:paraId="421816B2" w14:textId="77777777" w:rsidR="000F05F5" w:rsidRPr="003954FD" w:rsidRDefault="000F05F5" w:rsidP="003954FD">
        <w:pPr>
          <w:tabs>
            <w:tab w:val="center" w:pos="4680"/>
            <w:tab w:val="right" w:pos="9360"/>
          </w:tabs>
          <w:spacing w:line="360" w:lineRule="auto"/>
          <w:ind w:left="360"/>
          <w:jc w:val="center"/>
          <w:rPr>
            <w:rFonts w:ascii="Arial" w:eastAsia="Times New Roman" w:hAnsi="Arial" w:cs="Arial"/>
            <w:color w:val="494C49"/>
            <w:sz w:val="18"/>
            <w:szCs w:val="18"/>
          </w:rPr>
        </w:pPr>
        <w:r w:rsidRPr="003954FD">
          <w:rPr>
            <w:rFonts w:ascii="Arial" w:eastAsia="Times New Roman" w:hAnsi="Arial" w:cs="Arial"/>
            <w:color w:val="494C49"/>
            <w:sz w:val="18"/>
            <w:szCs w:val="18"/>
          </w:rPr>
          <w:t>ANDERSON</w:t>
        </w:r>
        <w:r w:rsidRPr="003954FD">
          <w:rPr>
            <w:rFonts w:ascii="Arial" w:eastAsia="Times New Roman" w:hAnsi="Arial" w:cs="Arial"/>
            <w:color w:val="494C49"/>
            <w:kern w:val="24"/>
            <w:sz w:val="18"/>
            <w:szCs w:val="18"/>
          </w:rPr>
          <w:t xml:space="preserve"> &amp;</w:t>
        </w:r>
        <w:r w:rsidRPr="003954FD">
          <w:rPr>
            <w:rFonts w:ascii="Arial" w:eastAsia="Times New Roman" w:hAnsi="Arial" w:cs="Arial"/>
            <w:color w:val="494C49"/>
            <w:sz w:val="18"/>
            <w:szCs w:val="18"/>
          </w:rPr>
          <w:t xml:space="preserve"> KREIGER LLP  </w:t>
        </w:r>
        <w:r w:rsidRPr="003954FD">
          <w:rPr>
            <w:rFonts w:ascii="Arial" w:eastAsia="Times New Roman" w:hAnsi="Arial" w:cs="Arial"/>
            <w:b/>
            <w:color w:val="8AB2BA"/>
            <w:sz w:val="18"/>
            <w:szCs w:val="18"/>
          </w:rPr>
          <w:t>|</w:t>
        </w:r>
        <w:r w:rsidRPr="003954FD">
          <w:rPr>
            <w:rFonts w:ascii="Arial" w:eastAsia="Times New Roman" w:hAnsi="Arial" w:cs="Arial"/>
            <w:color w:val="494C49"/>
            <w:sz w:val="18"/>
            <w:szCs w:val="18"/>
          </w:rPr>
          <w:t xml:space="preserve">  50 MILK STREET, 21</w:t>
        </w:r>
        <w:r w:rsidRPr="003954FD">
          <w:rPr>
            <w:rFonts w:ascii="Arial" w:eastAsia="Times New Roman" w:hAnsi="Arial" w:cs="Arial"/>
            <w:color w:val="494C49"/>
            <w:sz w:val="18"/>
            <w:szCs w:val="18"/>
            <w:vertAlign w:val="superscript"/>
          </w:rPr>
          <w:t>st</w:t>
        </w:r>
        <w:r w:rsidRPr="003954FD">
          <w:rPr>
            <w:rFonts w:ascii="Arial" w:eastAsia="Times New Roman" w:hAnsi="Arial" w:cs="Arial"/>
            <w:color w:val="494C49"/>
            <w:sz w:val="18"/>
            <w:szCs w:val="18"/>
          </w:rPr>
          <w:t xml:space="preserve"> FLOOR, BOSTON, MA 02109  </w:t>
        </w:r>
        <w:r w:rsidRPr="003954FD">
          <w:rPr>
            <w:rFonts w:ascii="Arial" w:eastAsia="Times New Roman" w:hAnsi="Arial" w:cs="Arial"/>
            <w:b/>
            <w:color w:val="8AB2BA"/>
            <w:sz w:val="18"/>
            <w:szCs w:val="18"/>
          </w:rPr>
          <w:t>|</w:t>
        </w:r>
        <w:r w:rsidRPr="003954FD">
          <w:rPr>
            <w:rFonts w:ascii="Arial" w:eastAsia="Times New Roman" w:hAnsi="Arial" w:cs="Arial"/>
            <w:color w:val="494C49"/>
            <w:sz w:val="18"/>
            <w:szCs w:val="18"/>
          </w:rPr>
          <w:t xml:space="preserve">  617.621.6500</w:t>
        </w:r>
      </w:p>
      <w:p w14:paraId="312B85C7" w14:textId="77777777" w:rsidR="003954FD" w:rsidRPr="003954FD" w:rsidRDefault="00E36E7E" w:rsidP="003954FD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928CD" w14:textId="77777777" w:rsidR="000F05F5" w:rsidRDefault="000F05F5" w:rsidP="004113A4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158FD601" w14:textId="77777777" w:rsidR="000F05F5" w:rsidRDefault="000F05F5" w:rsidP="00411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0326D" w14:textId="77777777" w:rsidR="00173F16" w:rsidRDefault="00173F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91"/>
      <w:gridCol w:w="4669"/>
    </w:tblGrid>
    <w:tr w:rsidR="00EC7073" w:rsidRPr="00EC7073" w14:paraId="12514B2B" w14:textId="77777777" w:rsidTr="00EC7073">
      <w:tc>
        <w:tcPr>
          <w:tcW w:w="4788" w:type="dxa"/>
          <w:shd w:val="clear" w:color="auto" w:fill="auto"/>
        </w:tcPr>
        <w:p w14:paraId="3364E129" w14:textId="77A07D36" w:rsidR="00615E2E" w:rsidRDefault="001A7B8B" w:rsidP="00E1467C">
          <w:pPr>
            <w:pStyle w:val="Header"/>
            <w:spacing w:after="0"/>
          </w:pPr>
          <w:fldSimple w:instr=" STYLEREF  Date  \* MERGEFORMAT ">
            <w:r w:rsidR="00E36E7E">
              <w:rPr>
                <w:noProof/>
              </w:rPr>
              <w:t>February 21, 2025</w:t>
            </w:r>
          </w:fldSimple>
        </w:p>
        <w:p w14:paraId="401EAE3F" w14:textId="77777777" w:rsidR="00615E2E" w:rsidRPr="00EC7073" w:rsidRDefault="00615E2E" w:rsidP="00EC7073">
          <w:pPr>
            <w:pStyle w:val="Header"/>
          </w:pPr>
          <w:r>
            <w:t xml:space="preserve">Page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3954FD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  <w:tc>
        <w:tcPr>
          <w:tcW w:w="4788" w:type="dxa"/>
          <w:shd w:val="clear" w:color="auto" w:fill="auto"/>
          <w:vAlign w:val="bottom"/>
        </w:tcPr>
        <w:p w14:paraId="740F843F" w14:textId="77777777" w:rsidR="00EC7073" w:rsidRPr="00EC7073" w:rsidRDefault="00EC7073" w:rsidP="000F05F5"/>
      </w:tc>
    </w:tr>
  </w:tbl>
  <w:p w14:paraId="53BD61D9" w14:textId="77777777" w:rsidR="004113A4" w:rsidRDefault="004113A4" w:rsidP="00E1467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49A0E" w14:textId="77777777" w:rsidR="00985D2C" w:rsidRDefault="000F05F5" w:rsidP="000657EF">
    <w:pPr>
      <w:pStyle w:val="Header"/>
      <w:spacing w:after="480"/>
      <w:jc w:val="center"/>
    </w:pPr>
    <w:r>
      <w:rPr>
        <w:noProof/>
      </w:rPr>
      <w:drawing>
        <wp:inline distT="0" distB="0" distL="0" distR="0" wp14:anchorId="45EFEDB7" wp14:editId="207F7008">
          <wp:extent cx="1444752" cy="576072"/>
          <wp:effectExtent l="0" t="0" r="3175" b="0"/>
          <wp:docPr id="1" name="Picture 1" descr="C:\Users\ceaston_and0001\AppData\Local\Microsoft\Windows\Temporary Internet Files\Content.Outlook\LCIHR9GR\Anderson Kreig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easton_and0001\AppData\Local\Microsoft\Windows\Temporary Internet Files\Content.Outlook\LCIHR9GR\Anderson Kreig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4752" cy="576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60F6B17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7734B4B"/>
    <w:multiLevelType w:val="hybridMultilevel"/>
    <w:tmpl w:val="8E12E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23B0D"/>
    <w:multiLevelType w:val="hybridMultilevel"/>
    <w:tmpl w:val="52E6A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9596F"/>
    <w:multiLevelType w:val="hybridMultilevel"/>
    <w:tmpl w:val="9D5E9606"/>
    <w:lvl w:ilvl="0" w:tplc="D19CE4E4">
      <w:start w:val="1"/>
      <w:numFmt w:val="upperRoman"/>
      <w:pStyle w:val="Heading1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3ED0A79"/>
    <w:multiLevelType w:val="hybridMultilevel"/>
    <w:tmpl w:val="04BAB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662812">
    <w:abstractNumId w:val="1"/>
  </w:num>
  <w:num w:numId="2" w16cid:durableId="1375352940">
    <w:abstractNumId w:val="3"/>
  </w:num>
  <w:num w:numId="3" w16cid:durableId="427166640">
    <w:abstractNumId w:val="4"/>
  </w:num>
  <w:num w:numId="4" w16cid:durableId="77102292">
    <w:abstractNumId w:val="2"/>
  </w:num>
  <w:num w:numId="5" w16cid:durableId="368140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5F5"/>
    <w:rsid w:val="00003648"/>
    <w:rsid w:val="00010D12"/>
    <w:rsid w:val="00015366"/>
    <w:rsid w:val="0001770C"/>
    <w:rsid w:val="0002362F"/>
    <w:rsid w:val="00034B21"/>
    <w:rsid w:val="00035E6E"/>
    <w:rsid w:val="00043CFB"/>
    <w:rsid w:val="0005189E"/>
    <w:rsid w:val="00055C6C"/>
    <w:rsid w:val="00056F70"/>
    <w:rsid w:val="000657EF"/>
    <w:rsid w:val="00066ABC"/>
    <w:rsid w:val="000928FD"/>
    <w:rsid w:val="000A6B8D"/>
    <w:rsid w:val="000F05F5"/>
    <w:rsid w:val="0011069C"/>
    <w:rsid w:val="001251B2"/>
    <w:rsid w:val="00131241"/>
    <w:rsid w:val="00167935"/>
    <w:rsid w:val="00173F16"/>
    <w:rsid w:val="001749D2"/>
    <w:rsid w:val="00192490"/>
    <w:rsid w:val="001A659F"/>
    <w:rsid w:val="001A7B8B"/>
    <w:rsid w:val="001D08ED"/>
    <w:rsid w:val="002072A1"/>
    <w:rsid w:val="00211FBA"/>
    <w:rsid w:val="002307F5"/>
    <w:rsid w:val="00237ED6"/>
    <w:rsid w:val="00254FB5"/>
    <w:rsid w:val="0027124D"/>
    <w:rsid w:val="002B5B7D"/>
    <w:rsid w:val="002B771D"/>
    <w:rsid w:val="002C4B90"/>
    <w:rsid w:val="002E7E54"/>
    <w:rsid w:val="002F46C9"/>
    <w:rsid w:val="00304127"/>
    <w:rsid w:val="00317A27"/>
    <w:rsid w:val="00334C3F"/>
    <w:rsid w:val="0034376D"/>
    <w:rsid w:val="00345B20"/>
    <w:rsid w:val="0035163D"/>
    <w:rsid w:val="00353E52"/>
    <w:rsid w:val="00360512"/>
    <w:rsid w:val="0039095F"/>
    <w:rsid w:val="003954FD"/>
    <w:rsid w:val="003B2707"/>
    <w:rsid w:val="003E22C1"/>
    <w:rsid w:val="003E5987"/>
    <w:rsid w:val="004113A4"/>
    <w:rsid w:val="00412CE7"/>
    <w:rsid w:val="00426E14"/>
    <w:rsid w:val="00437CC4"/>
    <w:rsid w:val="00460890"/>
    <w:rsid w:val="004A29DE"/>
    <w:rsid w:val="004A6910"/>
    <w:rsid w:val="004D3E03"/>
    <w:rsid w:val="004E376B"/>
    <w:rsid w:val="005165C5"/>
    <w:rsid w:val="00521AA1"/>
    <w:rsid w:val="005231D7"/>
    <w:rsid w:val="00531210"/>
    <w:rsid w:val="00560D43"/>
    <w:rsid w:val="00560DB8"/>
    <w:rsid w:val="00571CE9"/>
    <w:rsid w:val="0059532E"/>
    <w:rsid w:val="005A338F"/>
    <w:rsid w:val="005C0538"/>
    <w:rsid w:val="005C6712"/>
    <w:rsid w:val="005E2129"/>
    <w:rsid w:val="005F72DE"/>
    <w:rsid w:val="00615E2E"/>
    <w:rsid w:val="006178D0"/>
    <w:rsid w:val="0063014A"/>
    <w:rsid w:val="0063682E"/>
    <w:rsid w:val="00640EDF"/>
    <w:rsid w:val="00646481"/>
    <w:rsid w:val="006539F6"/>
    <w:rsid w:val="00660DC7"/>
    <w:rsid w:val="00671C2C"/>
    <w:rsid w:val="00681421"/>
    <w:rsid w:val="006926C2"/>
    <w:rsid w:val="006A31E0"/>
    <w:rsid w:val="006A59A3"/>
    <w:rsid w:val="006C103D"/>
    <w:rsid w:val="006C72AC"/>
    <w:rsid w:val="006D7499"/>
    <w:rsid w:val="00705A57"/>
    <w:rsid w:val="00713277"/>
    <w:rsid w:val="007318DD"/>
    <w:rsid w:val="0075270D"/>
    <w:rsid w:val="00756E4E"/>
    <w:rsid w:val="00775528"/>
    <w:rsid w:val="00786CE1"/>
    <w:rsid w:val="007B08BC"/>
    <w:rsid w:val="007D1250"/>
    <w:rsid w:val="007D2AC8"/>
    <w:rsid w:val="007E170E"/>
    <w:rsid w:val="007E51AF"/>
    <w:rsid w:val="007F6500"/>
    <w:rsid w:val="00843BD8"/>
    <w:rsid w:val="00856F78"/>
    <w:rsid w:val="00861C87"/>
    <w:rsid w:val="0086339F"/>
    <w:rsid w:val="00864259"/>
    <w:rsid w:val="00867B94"/>
    <w:rsid w:val="00871B5C"/>
    <w:rsid w:val="00874BAD"/>
    <w:rsid w:val="0089022C"/>
    <w:rsid w:val="008B4B35"/>
    <w:rsid w:val="00906D93"/>
    <w:rsid w:val="00912CA2"/>
    <w:rsid w:val="0091639B"/>
    <w:rsid w:val="00920884"/>
    <w:rsid w:val="00944617"/>
    <w:rsid w:val="00947167"/>
    <w:rsid w:val="00973BAD"/>
    <w:rsid w:val="00982243"/>
    <w:rsid w:val="00985D2C"/>
    <w:rsid w:val="009A590B"/>
    <w:rsid w:val="009B44C2"/>
    <w:rsid w:val="009D542B"/>
    <w:rsid w:val="00A15782"/>
    <w:rsid w:val="00A17A7E"/>
    <w:rsid w:val="00A22BD6"/>
    <w:rsid w:val="00A321B5"/>
    <w:rsid w:val="00A3669E"/>
    <w:rsid w:val="00A4274A"/>
    <w:rsid w:val="00A42DDE"/>
    <w:rsid w:val="00A63966"/>
    <w:rsid w:val="00A750AB"/>
    <w:rsid w:val="00A97202"/>
    <w:rsid w:val="00B01045"/>
    <w:rsid w:val="00B03294"/>
    <w:rsid w:val="00B0705D"/>
    <w:rsid w:val="00B13AB1"/>
    <w:rsid w:val="00B547BF"/>
    <w:rsid w:val="00B6506A"/>
    <w:rsid w:val="00B71EDC"/>
    <w:rsid w:val="00BA0F46"/>
    <w:rsid w:val="00BA2AB6"/>
    <w:rsid w:val="00BA3556"/>
    <w:rsid w:val="00BE17B3"/>
    <w:rsid w:val="00BE3651"/>
    <w:rsid w:val="00C32CE3"/>
    <w:rsid w:val="00C37259"/>
    <w:rsid w:val="00C4088C"/>
    <w:rsid w:val="00C41A5B"/>
    <w:rsid w:val="00C575E6"/>
    <w:rsid w:val="00C67DCC"/>
    <w:rsid w:val="00C7299A"/>
    <w:rsid w:val="00C80F19"/>
    <w:rsid w:val="00C942E9"/>
    <w:rsid w:val="00C97130"/>
    <w:rsid w:val="00CB2C00"/>
    <w:rsid w:val="00CC4AB8"/>
    <w:rsid w:val="00CC5F7D"/>
    <w:rsid w:val="00CD3E88"/>
    <w:rsid w:val="00CF52EE"/>
    <w:rsid w:val="00D009C7"/>
    <w:rsid w:val="00D02354"/>
    <w:rsid w:val="00D423CD"/>
    <w:rsid w:val="00D42685"/>
    <w:rsid w:val="00D64145"/>
    <w:rsid w:val="00D97828"/>
    <w:rsid w:val="00DD14FA"/>
    <w:rsid w:val="00DE0DBC"/>
    <w:rsid w:val="00DF2A87"/>
    <w:rsid w:val="00E1027D"/>
    <w:rsid w:val="00E1467C"/>
    <w:rsid w:val="00E23A73"/>
    <w:rsid w:val="00E3687B"/>
    <w:rsid w:val="00E36E7E"/>
    <w:rsid w:val="00E370B4"/>
    <w:rsid w:val="00E37FF5"/>
    <w:rsid w:val="00E41102"/>
    <w:rsid w:val="00E41342"/>
    <w:rsid w:val="00E47A10"/>
    <w:rsid w:val="00E60A2B"/>
    <w:rsid w:val="00E759C5"/>
    <w:rsid w:val="00E76A31"/>
    <w:rsid w:val="00EA57D4"/>
    <w:rsid w:val="00EB5BA2"/>
    <w:rsid w:val="00EC702B"/>
    <w:rsid w:val="00EC7073"/>
    <w:rsid w:val="00EF14AB"/>
    <w:rsid w:val="00F03228"/>
    <w:rsid w:val="00F06C6F"/>
    <w:rsid w:val="00F30C48"/>
    <w:rsid w:val="00F42908"/>
    <w:rsid w:val="00F45007"/>
    <w:rsid w:val="00F666F5"/>
    <w:rsid w:val="00F726A2"/>
    <w:rsid w:val="00F83856"/>
    <w:rsid w:val="00F94357"/>
    <w:rsid w:val="00FA18C9"/>
    <w:rsid w:val="00FA38E7"/>
    <w:rsid w:val="00FA3E26"/>
    <w:rsid w:val="00FF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17B40F"/>
  <w15:docId w15:val="{A5340AA2-DED0-47E9-81B3-551F01C65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E6E"/>
    <w:pPr>
      <w:spacing w:after="240" w:line="240" w:lineRule="auto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2DDE"/>
    <w:pPr>
      <w:keepNext/>
      <w:keepLines/>
      <w:numPr>
        <w:numId w:val="2"/>
      </w:numPr>
      <w:outlineLvl w:val="0"/>
    </w:pPr>
    <w:rPr>
      <w:rFonts w:eastAsiaTheme="majorEastAsia" w:cstheme="majorBidi"/>
      <w:b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5E6E"/>
    <w:pPr>
      <w:outlineLvl w:val="1"/>
    </w:pPr>
    <w:rPr>
      <w:b/>
      <w:bCs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2DDE"/>
    <w:rPr>
      <w:rFonts w:ascii="Times New Roman" w:eastAsiaTheme="majorEastAsia" w:hAnsi="Times New Roman" w:cstheme="majorBidi"/>
      <w:b/>
      <w:sz w:val="24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35E6E"/>
    <w:rPr>
      <w:rFonts w:ascii="Times New Roman" w:hAnsi="Times New Roman" w:cs="Times New Roman"/>
      <w:b/>
      <w:bCs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EB5BA2"/>
    <w:pPr>
      <w:ind w:left="1440" w:right="1440"/>
    </w:pPr>
    <w:rPr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B5BA2"/>
    <w:rPr>
      <w:iCs/>
      <w:color w:val="000000" w:themeColor="text1"/>
      <w:sz w:val="24"/>
    </w:rPr>
  </w:style>
  <w:style w:type="table" w:styleId="TableGrid">
    <w:name w:val="Table Grid"/>
    <w:basedOn w:val="TableNormal"/>
    <w:uiPriority w:val="59"/>
    <w:rsid w:val="00EB5BA2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Heading"/>
    <w:basedOn w:val="Normal"/>
    <w:link w:val="MemoHeadingChar"/>
    <w:semiHidden/>
    <w:rsid w:val="00EB5BA2"/>
  </w:style>
  <w:style w:type="paragraph" w:customStyle="1" w:styleId="MemoHeadingCompanyName">
    <w:name w:val="MemoHeadingCompanyName"/>
    <w:basedOn w:val="MemoHeading"/>
    <w:link w:val="MemoHeadingCompanyNameChar"/>
    <w:semiHidden/>
    <w:qFormat/>
    <w:rsid w:val="00EB5BA2"/>
    <w:rPr>
      <w:smallCaps/>
    </w:rPr>
  </w:style>
  <w:style w:type="character" w:customStyle="1" w:styleId="MemoHeadingChar">
    <w:name w:val="MemoHeading Char"/>
    <w:basedOn w:val="DefaultParagraphFont"/>
    <w:link w:val="MemoHeading"/>
    <w:semiHidden/>
    <w:rsid w:val="00EB5BA2"/>
    <w:rPr>
      <w:sz w:val="24"/>
    </w:rPr>
  </w:style>
  <w:style w:type="paragraph" w:styleId="BodyText">
    <w:name w:val="Body Text"/>
    <w:basedOn w:val="Normal"/>
    <w:link w:val="BodyTextChar"/>
    <w:uiPriority w:val="99"/>
    <w:rsid w:val="005231D7"/>
  </w:style>
  <w:style w:type="character" w:customStyle="1" w:styleId="MemoHeadingCompanyNameChar">
    <w:name w:val="MemoHeadingCompanyName Char"/>
    <w:basedOn w:val="MemoHeadingChar"/>
    <w:link w:val="MemoHeadingCompanyName"/>
    <w:semiHidden/>
    <w:rsid w:val="00EB5BA2"/>
    <w:rPr>
      <w:smallCaps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5231D7"/>
    <w:rPr>
      <w:sz w:val="24"/>
    </w:rPr>
  </w:style>
  <w:style w:type="paragraph" w:styleId="Header">
    <w:name w:val="header"/>
    <w:basedOn w:val="Normal"/>
    <w:link w:val="HeaderChar"/>
    <w:uiPriority w:val="99"/>
    <w:semiHidden/>
    <w:rsid w:val="004113A4"/>
    <w:pPr>
      <w:tabs>
        <w:tab w:val="center" w:pos="4680"/>
        <w:tab w:val="right" w:pos="9360"/>
      </w:tabs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B2C0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2C00"/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60DB8"/>
    <w:rPr>
      <w:sz w:val="24"/>
    </w:rPr>
  </w:style>
  <w:style w:type="paragraph" w:styleId="Footer">
    <w:name w:val="footer"/>
    <w:basedOn w:val="Normal"/>
    <w:link w:val="FooterChar"/>
    <w:rsid w:val="004113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60DB8"/>
    <w:rPr>
      <w:sz w:val="24"/>
    </w:rPr>
  </w:style>
  <w:style w:type="paragraph" w:customStyle="1" w:styleId="Handling">
    <w:name w:val="Handling"/>
    <w:basedOn w:val="Normal"/>
    <w:link w:val="HandlingChar"/>
    <w:semiHidden/>
    <w:qFormat/>
    <w:rsid w:val="004113A4"/>
    <w:pPr>
      <w:contextualSpacing/>
      <w:jc w:val="center"/>
    </w:pPr>
    <w:rPr>
      <w:b/>
    </w:rPr>
  </w:style>
  <w:style w:type="character" w:customStyle="1" w:styleId="HandlingChar">
    <w:name w:val="Handling Char"/>
    <w:basedOn w:val="DefaultParagraphFont"/>
    <w:link w:val="Handling"/>
    <w:semiHidden/>
    <w:rsid w:val="00560DB8"/>
    <w:rPr>
      <w:b/>
      <w:sz w:val="24"/>
    </w:rPr>
  </w:style>
  <w:style w:type="paragraph" w:customStyle="1" w:styleId="MemoTitle">
    <w:name w:val="MemoTitle"/>
    <w:basedOn w:val="Normal"/>
    <w:link w:val="MemoTitleChar"/>
    <w:semiHidden/>
    <w:qFormat/>
    <w:rsid w:val="00560DB8"/>
    <w:pPr>
      <w:jc w:val="center"/>
    </w:pPr>
    <w:rPr>
      <w:b/>
      <w:caps/>
      <w:spacing w:val="40"/>
    </w:rPr>
  </w:style>
  <w:style w:type="character" w:customStyle="1" w:styleId="MemoTitleChar">
    <w:name w:val="MemoTitle Char"/>
    <w:basedOn w:val="DefaultParagraphFont"/>
    <w:link w:val="MemoTitle"/>
    <w:semiHidden/>
    <w:rsid w:val="00560DB8"/>
    <w:rPr>
      <w:b/>
      <w:caps/>
      <w:spacing w:val="4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5D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D2C"/>
    <w:rPr>
      <w:rFonts w:ascii="Tahoma" w:hAnsi="Tahoma" w:cs="Tahoma"/>
      <w:sz w:val="16"/>
      <w:szCs w:val="16"/>
    </w:rPr>
  </w:style>
  <w:style w:type="character" w:customStyle="1" w:styleId="LetterFooterAddress">
    <w:name w:val="LetterFooterAddress"/>
    <w:basedOn w:val="DefaultParagraphFont"/>
    <w:uiPriority w:val="1"/>
    <w:semiHidden/>
    <w:qFormat/>
    <w:rsid w:val="00E759C5"/>
    <w:rPr>
      <w:rFonts w:ascii="Arial" w:hAnsi="Arial" w:cstheme="minorHAnsi"/>
      <w:sz w:val="16"/>
      <w:szCs w:val="18"/>
    </w:rPr>
  </w:style>
  <w:style w:type="character" w:customStyle="1" w:styleId="DocID">
    <w:name w:val="Doc ID"/>
    <w:uiPriority w:val="1"/>
    <w:semiHidden/>
    <w:rsid w:val="00E41342"/>
    <w:rPr>
      <w:rFonts w:ascii="Lucida Fax" w:hAnsi="Lucida Fax" w:cstheme="minorHAnsi"/>
      <w:sz w:val="12"/>
      <w:szCs w:val="18"/>
    </w:rPr>
  </w:style>
  <w:style w:type="character" w:styleId="PlaceholderText">
    <w:name w:val="Placeholder Text"/>
    <w:basedOn w:val="DefaultParagraphFont"/>
    <w:uiPriority w:val="99"/>
    <w:semiHidden/>
    <w:rsid w:val="00E60A2B"/>
    <w:rPr>
      <w:color w:val="808080"/>
    </w:rPr>
  </w:style>
  <w:style w:type="paragraph" w:customStyle="1" w:styleId="BccList">
    <w:name w:val="BccList"/>
    <w:basedOn w:val="Normal"/>
    <w:qFormat/>
    <w:rsid w:val="009B44C2"/>
    <w:pPr>
      <w:pageBreakBefore/>
      <w:ind w:left="720" w:hanging="720"/>
    </w:pPr>
  </w:style>
  <w:style w:type="character" w:styleId="Hyperlink">
    <w:name w:val="Hyperlink"/>
    <w:basedOn w:val="DefaultParagraphFont"/>
    <w:uiPriority w:val="99"/>
    <w:unhideWhenUsed/>
    <w:rsid w:val="009B44C2"/>
    <w:rPr>
      <w:color w:val="0000FF" w:themeColor="hyperlink"/>
      <w:u w:val="single"/>
    </w:rPr>
  </w:style>
  <w:style w:type="paragraph" w:styleId="Date">
    <w:name w:val="Date"/>
    <w:basedOn w:val="Normal"/>
    <w:next w:val="Normal"/>
    <w:link w:val="DateChar"/>
    <w:uiPriority w:val="99"/>
    <w:unhideWhenUsed/>
    <w:rsid w:val="00615E2E"/>
  </w:style>
  <w:style w:type="character" w:customStyle="1" w:styleId="DateChar">
    <w:name w:val="Date Char"/>
    <w:basedOn w:val="DefaultParagraphFont"/>
    <w:link w:val="Date"/>
    <w:uiPriority w:val="99"/>
    <w:rsid w:val="00615E2E"/>
    <w:rPr>
      <w:sz w:val="24"/>
    </w:rPr>
  </w:style>
  <w:style w:type="paragraph" w:customStyle="1" w:styleId="DocID0">
    <w:name w:val="DocID"/>
    <w:basedOn w:val="Normal"/>
    <w:link w:val="DocIDChar"/>
    <w:qFormat/>
    <w:rsid w:val="00F03228"/>
    <w:rPr>
      <w:rFonts w:ascii="Arial" w:eastAsia="Times New Roman" w:hAnsi="Arial"/>
      <w:sz w:val="12"/>
      <w:szCs w:val="24"/>
    </w:rPr>
  </w:style>
  <w:style w:type="character" w:customStyle="1" w:styleId="DocIDChar">
    <w:name w:val="DocID Char"/>
    <w:basedOn w:val="DefaultParagraphFont"/>
    <w:link w:val="DocID0"/>
    <w:rsid w:val="00F03228"/>
    <w:rPr>
      <w:rFonts w:ascii="Arial" w:eastAsia="Times New Roman" w:hAnsi="Arial" w:cs="Times New Roman"/>
      <w:sz w:val="12"/>
      <w:szCs w:val="24"/>
    </w:rPr>
  </w:style>
  <w:style w:type="paragraph" w:styleId="ListParagraph">
    <w:name w:val="List Paragraph"/>
    <w:basedOn w:val="Normal"/>
    <w:uiPriority w:val="34"/>
    <w:qFormat/>
    <w:rsid w:val="000F05F5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glossaryDocument" Target="glossary/document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customXml" Target="/customXML/item2.xml" Id="imanage.xml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Esquire%20Innovations\iCreate\iTemplates\iMemo\AK%20Memo.ice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644BED5E6824C67B003D7AD9081E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D2FAE-BDE0-4BB1-96A2-DE9643756B4D}"/>
      </w:docPartPr>
      <w:docPartBody>
        <w:p w:rsidR="0041209D" w:rsidRDefault="0041209D">
          <w:pPr>
            <w:pStyle w:val="B644BED5E6824C67B003D7AD9081E353"/>
          </w:pPr>
          <w:r w:rsidRPr="008D6853">
            <w:rPr>
              <w:rStyle w:val="PlaceholderText"/>
            </w:rPr>
            <w:t>{name}\n{company}|\n</w:t>
          </w:r>
        </w:p>
      </w:docPartBody>
    </w:docPart>
    <w:docPart>
      <w:docPartPr>
        <w:name w:val="117032D94E604CC992523BC64321C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E6503-BDF2-41B2-AFDC-70A471101B7E}"/>
      </w:docPartPr>
      <w:docPartBody>
        <w:p w:rsidR="0041209D" w:rsidRDefault="0041209D">
          <w:pPr>
            <w:pStyle w:val="117032D94E604CC992523BC64321CAFB"/>
          </w:pPr>
          <w:r w:rsidRPr="008D6853">
            <w:rPr>
              <w:rStyle w:val="PlaceholderText"/>
            </w:rPr>
            <w:t>AuthorClosingName</w:t>
          </w:r>
        </w:p>
      </w:docPartBody>
    </w:docPart>
    <w:docPart>
      <w:docPartPr>
        <w:name w:val="B9625F4BE42F41E0BDA30B3914D87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D7A4CA-83AB-4DD1-9CD0-4775DD94FAB7}"/>
      </w:docPartPr>
      <w:docPartBody>
        <w:p w:rsidR="0041209D" w:rsidRDefault="0041209D">
          <w:pPr>
            <w:pStyle w:val="B9625F4BE42F41E0BDA30B3914D875F6"/>
          </w:pPr>
          <w:r w:rsidRPr="008D6853">
            <w:rPr>
              <w:rStyle w:val="PlaceholderText"/>
            </w:rPr>
            <w:t>ReLine</w:t>
          </w:r>
        </w:p>
      </w:docPartBody>
    </w:docPart>
    <w:docPart>
      <w:docPartPr>
        <w:name w:val="3FF2F8F96C7F4B269E1F52FE4DDE7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FD9F6-F495-4E4B-BE2D-C2EA858CA318}"/>
      </w:docPartPr>
      <w:docPartBody>
        <w:p w:rsidR="0041209D" w:rsidRDefault="0041209D">
          <w:pPr>
            <w:pStyle w:val="3FF2F8F96C7F4B269E1F52FE4DDE7405"/>
          </w:pPr>
          <w:r w:rsidRPr="008D6853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Fax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09D"/>
    <w:rsid w:val="0001770C"/>
    <w:rsid w:val="00304127"/>
    <w:rsid w:val="00317A27"/>
    <w:rsid w:val="0041209D"/>
    <w:rsid w:val="00BA3556"/>
    <w:rsid w:val="00DE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1209D"/>
    <w:rPr>
      <w:color w:val="808080"/>
    </w:rPr>
  </w:style>
  <w:style w:type="paragraph" w:customStyle="1" w:styleId="B644BED5E6824C67B003D7AD9081E353">
    <w:name w:val="B644BED5E6824C67B003D7AD9081E353"/>
  </w:style>
  <w:style w:type="paragraph" w:customStyle="1" w:styleId="117032D94E604CC992523BC64321CAFB">
    <w:name w:val="117032D94E604CC992523BC64321CAFB"/>
  </w:style>
  <w:style w:type="paragraph" w:customStyle="1" w:styleId="B9625F4BE42F41E0BDA30B3914D875F6">
    <w:name w:val="B9625F4BE42F41E0BDA30B3914D875F6"/>
  </w:style>
  <w:style w:type="paragraph" w:customStyle="1" w:styleId="3FF2F8F96C7F4B269E1F52FE4DDE7405">
    <w:name w:val="3FF2F8F96C7F4B269E1F52FE4DDE74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item2.xml>��< ? x m l   v e r s i o n = " 1 . 0 "   e n c o d i n g = " u t f - 1 6 " ? >  
 < p r o p e r t i e s   x m l n s = " h t t p : / / w w w . i m a n a g e . c o m / w o r k / x m l s c h e m a " >  
     < d o c u m e n t i d > A K L L P ! 1 7 1 0 9 8 7 . 2 < / d o c u m e n t i d >  
     < s e n d e r i d > P K O M I N E R S < / s e n d e r i d >  
     < s e n d e r e m a i l > P K O M I N E R S @ A N D E R S O N K R E I G E R . C O M < / s e n d e r e m a i l >  
     < l a s t m o d i f i e d > 2 0 2 5 - 0 2 - 2 1 T 1 0 : 3 2 : 0 0 . 0 0 0 0 0 0 0 - 0 5 : 0 0 < / l a s t m o d i f i e d >  
     < d a t a b a s e > A K L L P < / d a t a b a s e >  
 < / p r o p e r t i e s >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iCreate>
  <authorID>5144</authorID>
  <typistID>5144</typistID>
  <officeID>1</officeID>
  <templateID>45</templateID>
  <iEncoreID/>
  <iEncore>
    <Font>Times New Roman:12</Font>
    <PaperSize>Letter</PaperSize>
    <Letterhead>true</Letterhead>
    <Notations>None</Notations>
    <ReLine>to Proposed ADU Zoning By-law Amendments</ReLine>
    <QuickMerge>
      <Sal>NickName:</Sal>
      <SalText/>
      <MailMerge>false</MailMerge>
      <MailMergeCc>false</MailMergeCc>
      <MailMergeBcc>false</MailMergeBcc>
    </QuickMerge>
  </iEncore>
</iCreate>
</file>

<file path=customXml/itemProps1.xml><?xml version="1.0" encoding="utf-8"?>
<ds:datastoreItem xmlns:ds="http://schemas.openxmlformats.org/officeDocument/2006/customXml" ds:itemID="{5EA8DD0F-1A8D-4C8E-9D89-8BE2CF88BA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 Memo.icex</Template>
  <TotalTime>62</TotalTime>
  <Pages>4</Pages>
  <Words>891</Words>
  <Characters>4627</Characters>
  <Application>Microsoft Office Word</Application>
  <DocSecurity>0</DocSecurity>
  <PresentationFormat>14|.DOTX</PresentationFormat>
  <Lines>128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Shirley</Company>
  <LinksUpToDate>false</LinksUpToDate>
  <CharactersWithSpaces>5464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Kominers</dc:creator>
  <cp:keywords/>
  <cp:lastModifiedBy>Paul Kominers</cp:lastModifiedBy>
  <cp:revision>34</cp:revision>
  <dcterms:created xsi:type="dcterms:W3CDTF">2025-02-21T14:26:00Z</dcterms:created>
  <dcterms:modified xsi:type="dcterms:W3CDTF">2025-02-21T15:32:00Z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ergeField-TONameListText164061297">
    <vt:lpwstr>{name}\n{company}|\n</vt:lpwstr>
  </property>
  <property fmtid="{D5CDD505-2E9C-101B-9397-08002B2CF9AE}" pid="3" name="iMergeField-TONameListPlaceholderText164061297">
    <vt:lpwstr>{name}\n{company}|\n</vt:lpwstr>
  </property>
  <property fmtid="{D5CDD505-2E9C-101B-9397-08002B2CF9AE}" pid="4" name="iMergeField-TONameListTitle164061297">
    <vt:lpwstr>TONameList164061297</vt:lpwstr>
  </property>
  <property fmtid="{D5CDD505-2E9C-101B-9397-08002B2CF9AE}" pid="5" name="iMergeField-TONameListText68555177">
    <vt:lpwstr>{name}|\n</vt:lpwstr>
  </property>
  <property fmtid="{D5CDD505-2E9C-101B-9397-08002B2CF9AE}" pid="6" name="iMergeField-TONameListPlaceholderText68555177">
    <vt:lpwstr>{name}|\n</vt:lpwstr>
  </property>
  <property fmtid="{D5CDD505-2E9C-101B-9397-08002B2CF9AE}" pid="7" name="iMergeField-TONameListTitle68555177">
    <vt:lpwstr>TONameList68555177</vt:lpwstr>
  </property>
  <property fmtid="{D5CDD505-2E9C-101B-9397-08002B2CF9AE}" pid="8" name="iMergeField-CCNameListText2133749780">
    <vt:lpwstr>CCNameList</vt:lpwstr>
  </property>
  <property fmtid="{D5CDD505-2E9C-101B-9397-08002B2CF9AE}" pid="9" name="iMergeField-CCNameListPlaceholderText2133749780">
    <vt:lpwstr>CCNameList</vt:lpwstr>
  </property>
  <property fmtid="{D5CDD505-2E9C-101B-9397-08002B2CF9AE}" pid="10" name="iMergeField-CCNameListTitle2133749780">
    <vt:lpwstr>CCNameList2133749780</vt:lpwstr>
  </property>
  <property fmtid="{D5CDD505-2E9C-101B-9397-08002B2CF9AE}" pid="11" name="iMergeField-BCCNameListText1649709579">
    <vt:lpwstr>BCCNameList</vt:lpwstr>
  </property>
  <property fmtid="{D5CDD505-2E9C-101B-9397-08002B2CF9AE}" pid="12" name="iMergeField-BCCNameListPlaceholderText1649709579">
    <vt:lpwstr>BCCNameList</vt:lpwstr>
  </property>
  <property fmtid="{D5CDD505-2E9C-101B-9397-08002B2CF9AE}" pid="13" name="iMergeField-BCCNameListTitle1649709579">
    <vt:lpwstr>BCCNameList1649709579</vt:lpwstr>
  </property>
</Properties>
</file>